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center"/>
        <w:textAlignment w:val="auto"/>
      </w:pPr>
      <w:r>
        <w:rPr>
          <w:rFonts w:hint="eastAsia" w:ascii="方正小标宋简体" w:eastAsia="方正小标宋简体"/>
          <w:color w:val="333333"/>
          <w:sz w:val="43"/>
          <w:szCs w:val="43"/>
        </w:rPr>
        <w:t>靖安县交通运输局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方正小标宋简体" w:eastAsia="方正小标宋简体"/>
          <w:color w:val="333333"/>
          <w:sz w:val="43"/>
          <w:szCs w:val="43"/>
        </w:rPr>
      </w:pPr>
      <w:r>
        <w:rPr>
          <w:rFonts w:hint="eastAsia" w:ascii="方正小标宋简体" w:eastAsia="方正小标宋简体"/>
          <w:color w:val="333333"/>
          <w:sz w:val="43"/>
          <w:szCs w:val="43"/>
        </w:rPr>
        <w:t>20</w:t>
      </w:r>
      <w:r>
        <w:rPr>
          <w:rFonts w:hint="eastAsia" w:ascii="方正小标宋简体" w:eastAsia="方正小标宋简体"/>
          <w:color w:val="333333"/>
          <w:sz w:val="43"/>
          <w:szCs w:val="43"/>
          <w:lang w:val="en-US" w:eastAsia="zh-CN"/>
        </w:rPr>
        <w:t>20</w:t>
      </w:r>
      <w:r>
        <w:rPr>
          <w:rFonts w:hint="eastAsia" w:ascii="方正小标宋简体" w:eastAsia="方正小标宋简体"/>
          <w:color w:val="333333"/>
          <w:sz w:val="43"/>
          <w:szCs w:val="43"/>
        </w:rPr>
        <w:t>年</w:t>
      </w:r>
      <w:r>
        <w:rPr>
          <w:rFonts w:hint="eastAsia" w:ascii="方正小标宋简体" w:eastAsia="方正小标宋简体"/>
          <w:color w:val="333333"/>
          <w:sz w:val="43"/>
          <w:szCs w:val="43"/>
          <w:lang w:eastAsia="zh-CN"/>
        </w:rPr>
        <w:t>政府</w:t>
      </w:r>
      <w:r>
        <w:rPr>
          <w:rFonts w:hint="eastAsia" w:ascii="方正小标宋简体" w:eastAsia="方正小标宋简体"/>
          <w:color w:val="333333"/>
          <w:sz w:val="43"/>
          <w:szCs w:val="43"/>
        </w:rPr>
        <w:t>信息公开</w:t>
      </w:r>
      <w:r>
        <w:rPr>
          <w:rFonts w:hint="eastAsia" w:ascii="方正小标宋简体" w:eastAsia="方正小标宋简体"/>
          <w:color w:val="333333"/>
          <w:sz w:val="43"/>
          <w:szCs w:val="43"/>
          <w:lang w:eastAsia="zh-CN"/>
        </w:rPr>
        <w:t>工作</w:t>
      </w:r>
      <w:r>
        <w:rPr>
          <w:rFonts w:hint="eastAsia" w:ascii="方正小标宋简体" w:eastAsia="方正小标宋简体"/>
          <w:color w:val="333333"/>
          <w:sz w:val="43"/>
          <w:szCs w:val="43"/>
        </w:rPr>
        <w:t>年度报告</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方正小标宋简体" w:eastAsia="方正小标宋简体"/>
          <w:color w:val="333333"/>
          <w:sz w:val="43"/>
          <w:szCs w:val="43"/>
          <w:highlight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i w:val="0"/>
          <w:caps w:val="0"/>
          <w:color w:val="333333"/>
          <w:spacing w:val="0"/>
          <w:sz w:val="32"/>
          <w:szCs w:val="32"/>
          <w:highlight w:val="none"/>
        </w:rPr>
      </w:pPr>
      <w:r>
        <w:rPr>
          <w:rFonts w:hint="eastAsia" w:ascii="仿宋_GB2312" w:hAnsi="仿宋_GB2312" w:eastAsia="仿宋_GB2312" w:cs="仿宋_GB2312"/>
          <w:i w:val="0"/>
          <w:caps w:val="0"/>
          <w:color w:val="333333"/>
          <w:spacing w:val="0"/>
          <w:sz w:val="32"/>
          <w:szCs w:val="32"/>
          <w:highlight w:val="none"/>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333333"/>
          <w:spacing w:val="0"/>
          <w:sz w:val="32"/>
          <w:szCs w:val="32"/>
          <w:highlight w:val="none"/>
          <w:lang w:val="en-US" w:eastAsia="zh-CN"/>
        </w:rPr>
        <w:t>靖安县交通运输局</w:t>
      </w:r>
      <w:r>
        <w:rPr>
          <w:rFonts w:hint="eastAsia" w:ascii="仿宋_GB2312" w:hAnsi="仿宋_GB2312" w:eastAsia="仿宋_GB2312" w:cs="仿宋_GB2312"/>
          <w:i w:val="0"/>
          <w:caps w:val="0"/>
          <w:color w:val="333333"/>
          <w:spacing w:val="0"/>
          <w:sz w:val="32"/>
          <w:szCs w:val="32"/>
          <w:highlight w:val="none"/>
        </w:rPr>
        <w:t>结合有关统计数据编制。本年度报告中所列数据的统计期限自</w:t>
      </w:r>
      <w:r>
        <w:rPr>
          <w:rFonts w:hint="eastAsia" w:ascii="仿宋_GB2312" w:hAnsi="仿宋_GB2312" w:eastAsia="仿宋_GB2312" w:cs="仿宋_GB2312"/>
          <w:i w:val="0"/>
          <w:caps w:val="0"/>
          <w:color w:val="333333"/>
          <w:spacing w:val="0"/>
          <w:sz w:val="32"/>
          <w:szCs w:val="32"/>
          <w:highlight w:val="none"/>
          <w:lang w:val="en-US" w:eastAsia="zh-CN"/>
        </w:rPr>
        <w:t>2020</w:t>
      </w:r>
      <w:r>
        <w:rPr>
          <w:rFonts w:hint="eastAsia" w:ascii="仿宋_GB2312" w:hAnsi="仿宋_GB2312" w:eastAsia="仿宋_GB2312" w:cs="仿宋_GB2312"/>
          <w:i w:val="0"/>
          <w:caps w:val="0"/>
          <w:color w:val="333333"/>
          <w:spacing w:val="0"/>
          <w:sz w:val="32"/>
          <w:szCs w:val="32"/>
          <w:highlight w:val="none"/>
        </w:rPr>
        <w:t>年1月1日起至</w:t>
      </w:r>
      <w:r>
        <w:rPr>
          <w:rFonts w:hint="eastAsia" w:ascii="仿宋_GB2312" w:hAnsi="仿宋_GB2312" w:eastAsia="仿宋_GB2312" w:cs="仿宋_GB2312"/>
          <w:i w:val="0"/>
          <w:caps w:val="0"/>
          <w:color w:val="333333"/>
          <w:spacing w:val="0"/>
          <w:sz w:val="32"/>
          <w:szCs w:val="32"/>
          <w:highlight w:val="none"/>
          <w:lang w:val="en-US" w:eastAsia="zh-CN"/>
        </w:rPr>
        <w:t>2020</w:t>
      </w:r>
      <w:r>
        <w:rPr>
          <w:rFonts w:hint="eastAsia" w:ascii="仿宋_GB2312" w:hAnsi="仿宋_GB2312" w:eastAsia="仿宋_GB2312" w:cs="仿宋_GB2312"/>
          <w:i w:val="0"/>
          <w:caps w:val="0"/>
          <w:color w:val="333333"/>
          <w:spacing w:val="0"/>
          <w:sz w:val="32"/>
          <w:szCs w:val="32"/>
          <w:highlight w:val="none"/>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i w:val="0"/>
          <w:caps w:val="0"/>
          <w:color w:val="333333"/>
          <w:spacing w:val="0"/>
          <w:sz w:val="32"/>
          <w:szCs w:val="32"/>
          <w:highlight w:val="none"/>
          <w:lang w:val="en-US" w:eastAsia="zh-CN"/>
        </w:rPr>
        <w:t>靖安县</w:t>
      </w:r>
      <w:r>
        <w:rPr>
          <w:rFonts w:hint="eastAsia" w:ascii="仿宋_GB2312" w:hAnsi="仿宋_GB2312" w:eastAsia="仿宋_GB2312" w:cs="仿宋_GB2312"/>
          <w:i w:val="0"/>
          <w:caps w:val="0"/>
          <w:color w:val="333333"/>
          <w:spacing w:val="0"/>
          <w:sz w:val="32"/>
          <w:szCs w:val="32"/>
          <w:highlight w:val="none"/>
        </w:rPr>
        <w:t>人民政府网站（</w:t>
      </w:r>
      <w:r>
        <w:rPr>
          <w:rFonts w:hint="eastAsia" w:ascii="仿宋_GB2312" w:hAnsi="仿宋_GB2312" w:eastAsia="仿宋_GB2312" w:cs="仿宋_GB2312"/>
          <w:i w:val="0"/>
          <w:caps w:val="0"/>
          <w:color w:val="333333"/>
          <w:spacing w:val="0"/>
          <w:sz w:val="32"/>
          <w:szCs w:val="32"/>
          <w:highlight w:val="none"/>
          <w:lang w:val="en-US" w:eastAsia="zh-CN"/>
        </w:rPr>
        <w:t>靖安县交通运输局</w:t>
      </w:r>
      <w:r>
        <w:rPr>
          <w:rFonts w:hint="eastAsia" w:ascii="仿宋_GB2312" w:hAnsi="仿宋_GB2312" w:eastAsia="仿宋_GB2312" w:cs="仿宋_GB2312"/>
          <w:i w:val="0"/>
          <w:caps w:val="0"/>
          <w:color w:val="333333"/>
          <w:spacing w:val="0"/>
          <w:sz w:val="32"/>
          <w:szCs w:val="32"/>
          <w:highlight w:val="none"/>
        </w:rPr>
        <w:t>）下载。如对本报告有任何疑问，请与</w:t>
      </w:r>
      <w:r>
        <w:rPr>
          <w:rFonts w:hint="eastAsia" w:ascii="仿宋_GB2312" w:hAnsi="仿宋_GB2312" w:eastAsia="仿宋_GB2312" w:cs="仿宋_GB2312"/>
          <w:i w:val="0"/>
          <w:caps w:val="0"/>
          <w:color w:val="333333"/>
          <w:spacing w:val="0"/>
          <w:sz w:val="32"/>
          <w:szCs w:val="32"/>
          <w:highlight w:val="none"/>
          <w:lang w:val="en-US" w:eastAsia="zh-CN"/>
        </w:rPr>
        <w:t>靖安县交通运输局</w:t>
      </w:r>
      <w:r>
        <w:rPr>
          <w:rFonts w:hint="eastAsia" w:ascii="仿宋_GB2312" w:hAnsi="仿宋_GB2312" w:eastAsia="仿宋_GB2312" w:cs="仿宋_GB2312"/>
          <w:i w:val="0"/>
          <w:caps w:val="0"/>
          <w:color w:val="333333"/>
          <w:spacing w:val="0"/>
          <w:sz w:val="32"/>
          <w:szCs w:val="32"/>
          <w:highlight w:val="none"/>
        </w:rPr>
        <w:t>联系（地址：</w:t>
      </w:r>
      <w:r>
        <w:rPr>
          <w:rFonts w:hint="eastAsia" w:ascii="仿宋_GB2312" w:hAnsi="仿宋_GB2312" w:eastAsia="仿宋_GB2312" w:cs="仿宋_GB2312"/>
          <w:i w:val="0"/>
          <w:caps w:val="0"/>
          <w:color w:val="333333"/>
          <w:spacing w:val="0"/>
          <w:sz w:val="32"/>
          <w:szCs w:val="32"/>
          <w:highlight w:val="none"/>
          <w:lang w:eastAsia="zh-CN"/>
        </w:rPr>
        <w:t>靖安县南港路</w:t>
      </w:r>
      <w:r>
        <w:rPr>
          <w:rFonts w:hint="eastAsia" w:ascii="仿宋_GB2312" w:hAnsi="仿宋_GB2312" w:eastAsia="仿宋_GB2312" w:cs="仿宋_GB2312"/>
          <w:i w:val="0"/>
          <w:caps w:val="0"/>
          <w:color w:val="333333"/>
          <w:spacing w:val="0"/>
          <w:sz w:val="32"/>
          <w:szCs w:val="32"/>
          <w:highlight w:val="none"/>
          <w:lang w:val="en-US" w:eastAsia="zh-CN"/>
        </w:rPr>
        <w:t>2号</w:t>
      </w:r>
      <w:r>
        <w:rPr>
          <w:rFonts w:hint="eastAsia" w:ascii="仿宋_GB2312" w:hAnsi="仿宋_GB2312" w:eastAsia="仿宋_GB2312" w:cs="仿宋_GB2312"/>
          <w:i w:val="0"/>
          <w:caps w:val="0"/>
          <w:color w:val="333333"/>
          <w:spacing w:val="0"/>
          <w:sz w:val="32"/>
          <w:szCs w:val="32"/>
          <w:highlight w:val="none"/>
        </w:rPr>
        <w:t>，电话：</w:t>
      </w:r>
      <w:r>
        <w:rPr>
          <w:rFonts w:hint="eastAsia" w:ascii="仿宋_GB2312" w:hAnsi="仿宋_GB2312" w:eastAsia="仿宋_GB2312" w:cs="仿宋_GB2312"/>
          <w:i w:val="0"/>
          <w:caps w:val="0"/>
          <w:color w:val="333333"/>
          <w:spacing w:val="0"/>
          <w:sz w:val="32"/>
          <w:szCs w:val="32"/>
          <w:highlight w:val="none"/>
          <w:lang w:val="en-US" w:eastAsia="zh-CN"/>
        </w:rPr>
        <w:t>4662624</w:t>
      </w:r>
      <w:r>
        <w:rPr>
          <w:rFonts w:hint="eastAsia" w:ascii="仿宋_GB2312" w:hAnsi="仿宋_GB2312" w:eastAsia="仿宋_GB2312" w:cs="仿宋_GB2312"/>
          <w:i w:val="0"/>
          <w:caps w:val="0"/>
          <w:color w:val="333333"/>
          <w:spacing w:val="0"/>
          <w:sz w:val="32"/>
          <w:szCs w:val="32"/>
          <w:highlight w:val="none"/>
        </w:rPr>
        <w:t>，邮编：</w:t>
      </w:r>
      <w:r>
        <w:rPr>
          <w:rFonts w:hint="eastAsia" w:ascii="仿宋_GB2312" w:hAnsi="仿宋_GB2312" w:eastAsia="仿宋_GB2312" w:cs="仿宋_GB2312"/>
          <w:i w:val="0"/>
          <w:caps w:val="0"/>
          <w:color w:val="333333"/>
          <w:spacing w:val="0"/>
          <w:sz w:val="32"/>
          <w:szCs w:val="32"/>
          <w:highlight w:val="none"/>
          <w:lang w:val="en-US" w:eastAsia="zh-CN"/>
        </w:rPr>
        <w:t>330600</w:t>
      </w:r>
      <w:r>
        <w:rPr>
          <w:rFonts w:hint="eastAsia" w:ascii="仿宋_GB2312" w:hAnsi="仿宋_GB2312" w:eastAsia="仿宋_GB2312" w:cs="仿宋_GB2312"/>
          <w:i w:val="0"/>
          <w:caps w:val="0"/>
          <w:color w:val="333333"/>
          <w:spacing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一、总体情况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2020</w:t>
      </w:r>
      <w:r>
        <w:rPr>
          <w:rFonts w:hint="eastAsia" w:ascii="仿宋_GB2312" w:hAnsi="仿宋_GB2312" w:eastAsia="仿宋_GB2312" w:cs="仿宋_GB2312"/>
          <w:i w:val="0"/>
          <w:caps w:val="0"/>
          <w:color w:val="333333"/>
          <w:spacing w:val="0"/>
          <w:sz w:val="32"/>
          <w:szCs w:val="32"/>
          <w:highlight w:val="none"/>
          <w:shd w:val="clear" w:fill="FFFFFF"/>
          <w:lang w:val="en-US" w:eastAsia="zh-CN"/>
        </w:rPr>
        <w:t>年</w:t>
      </w:r>
      <w:r>
        <w:rPr>
          <w:rFonts w:hint="eastAsia" w:ascii="仿宋_GB2312" w:hAnsi="仿宋_GB2312" w:eastAsia="仿宋_GB2312" w:cs="仿宋_GB2312"/>
          <w:i w:val="0"/>
          <w:caps w:val="0"/>
          <w:color w:val="333333"/>
          <w:spacing w:val="0"/>
          <w:sz w:val="32"/>
          <w:szCs w:val="32"/>
          <w:highlight w:val="none"/>
          <w:lang w:val="en-US" w:eastAsia="zh-CN"/>
        </w:rPr>
        <w:t>我局</w:t>
      </w:r>
      <w:r>
        <w:rPr>
          <w:rFonts w:hint="eastAsia" w:ascii="仿宋_GB2312" w:hAnsi="仿宋_GB2312" w:eastAsia="仿宋_GB2312" w:cs="仿宋_GB2312"/>
          <w:i w:val="0"/>
          <w:caps w:val="0"/>
          <w:color w:val="333333"/>
          <w:spacing w:val="0"/>
          <w:sz w:val="32"/>
          <w:szCs w:val="32"/>
          <w:shd w:val="clear" w:fill="FFFFFF"/>
          <w:lang w:val="en-US" w:eastAsia="zh-CN"/>
        </w:rPr>
        <w:t>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紧紧围绕省委、省政府中心工作及社会群众关注关切，着力提升政府信息公开质量，推进拓宽政府信息公开渠道，不断增强政府信息公开实效。</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（一）主动公开</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2020年度我局共主动公开政府信息77条，其中，公开指南2条、工作动态46条、概况信息4条、领导信息5条、政策文件2条、发展规划5条、建议提案办理11条、财政预决算2条。</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（二）依申请公开</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2020年度未接到任何单位和个人的公开申请。</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（三）政府信息管理</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default"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认真贯彻落实上级关于政务公开工作的各项要求，建立了严格的政府信息公开前保密审查工作机制</w:t>
      </w:r>
      <w:bookmarkStart w:id="0" w:name="_GoBack"/>
      <w:bookmarkEnd w:id="0"/>
      <w:r>
        <w:rPr>
          <w:rFonts w:hint="eastAsia" w:ascii="仿宋_GB2312" w:hAnsi="仿宋_GB2312" w:eastAsia="仿宋_GB2312" w:cs="仿宋_GB2312"/>
          <w:color w:val="333333"/>
          <w:sz w:val="32"/>
          <w:szCs w:val="32"/>
          <w:lang w:val="en-US" w:eastAsia="zh-CN"/>
        </w:rPr>
        <w:t>，明确保密检查的职责分工和审查程序。同时突出公开重点，加大工作透明度，畅通公开渠道，丰富公开内容，保障人民群众对我局工作的知情权、参与权、表达权和监督权。　　</w:t>
      </w:r>
    </w:p>
    <w:p>
      <w:pPr>
        <w:pStyle w:val="5"/>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平台建设</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靖安县人民政府信息公开网站（http://www.jxjaxzf.gov.cn/）是我局主要信息公开平台。</w:t>
      </w:r>
    </w:p>
    <w:p>
      <w:pPr>
        <w:pStyle w:val="5"/>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监督保障</w:t>
      </w:r>
    </w:p>
    <w:p>
      <w:pPr>
        <w:pStyle w:val="5"/>
        <w:keepNext w:val="0"/>
        <w:keepLines w:val="0"/>
        <w:pageBreakBefore w:val="0"/>
        <w:widowControl/>
        <w:numPr>
          <w:numId w:val="0"/>
        </w:numPr>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严格按照《中华人民共和国政府信息公开条例》第五十条的规定要求，高度重视政府信息公开工作，成立了由局主要领导任组长，分管领导任副组长，各科室负责人为成员的领导小组，落实了专项办公经费，制定了一系列工作制度，切实做到了机构、人员、经费、制度“四到位”。组织政府信息公开工作相关人员多次进行培训学习，确保公开信息更快的公布给人民群众。</w:t>
      </w:r>
    </w:p>
    <w:p>
      <w:pPr>
        <w:pStyle w:val="5"/>
        <w:keepNext w:val="0"/>
        <w:keepLines w:val="0"/>
        <w:pageBreakBefore w:val="0"/>
        <w:widowControl/>
        <w:numPr>
          <w:numId w:val="0"/>
        </w:numPr>
        <w:kinsoku/>
        <w:wordWrap/>
        <w:overflowPunct/>
        <w:topLinePunct w:val="0"/>
        <w:autoSpaceDE/>
        <w:autoSpaceDN/>
        <w:bidi w:val="0"/>
        <w:adjustRightInd/>
        <w:snapToGrid/>
        <w:spacing w:before="0" w:beforeAutospacing="0" w:after="0" w:afterAutospacing="0" w:line="520" w:lineRule="exact"/>
        <w:jc w:val="both"/>
        <w:textAlignment w:val="auto"/>
        <w:rPr>
          <w:rFonts w:hint="eastAsia" w:ascii="仿宋_GB2312" w:hAnsi="仿宋_GB2312" w:eastAsia="仿宋_GB2312" w:cs="仿宋_GB2312"/>
          <w:i w:val="0"/>
          <w:iCs w:val="0"/>
          <w:caps w:val="0"/>
          <w:color w:val="333333"/>
          <w:spacing w:val="0"/>
          <w:sz w:val="25"/>
          <w:szCs w:val="25"/>
          <w:shd w:val="clear" w:fill="FFFFFF"/>
          <w:lang w:eastAsia="zh-CN"/>
        </w:rPr>
      </w:pPr>
    </w:p>
    <w:p>
      <w:pPr>
        <w:keepNext w:val="0"/>
        <w:keepLines w:val="0"/>
        <w:pageBreakBefore w:val="0"/>
        <w:widowControl/>
        <w:numPr>
          <w:ilvl w:val="0"/>
          <w:numId w:val="2"/>
        </w:numPr>
        <w:kinsoku/>
        <w:wordWrap/>
        <w:overflowPunct/>
        <w:topLinePunct w:val="0"/>
        <w:autoSpaceDE/>
        <w:autoSpaceDN/>
        <w:bidi w:val="0"/>
        <w:adjustRightInd/>
        <w:snapToGrid/>
        <w:spacing w:after="240" w:line="552" w:lineRule="exact"/>
        <w:ind w:left="0" w:leftChars="0" w:firstLine="640" w:firstLineChars="200"/>
        <w:textAlignment w:val="auto"/>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主动公开政府信息情况</w:t>
      </w:r>
    </w:p>
    <w:tbl>
      <w:tblPr>
        <w:tblStyle w:val="3"/>
        <w:tblW w:w="8721" w:type="dxa"/>
        <w:tblInd w:w="128" w:type="dxa"/>
        <w:tblLayout w:type="autofit"/>
        <w:tblCellMar>
          <w:top w:w="15" w:type="dxa"/>
          <w:left w:w="15" w:type="dxa"/>
          <w:bottom w:w="15" w:type="dxa"/>
          <w:right w:w="15" w:type="dxa"/>
        </w:tblCellMar>
      </w:tblPr>
      <w:tblGrid>
        <w:gridCol w:w="2977"/>
        <w:gridCol w:w="1875"/>
        <w:gridCol w:w="1260"/>
        <w:gridCol w:w="199"/>
        <w:gridCol w:w="2410"/>
      </w:tblGrid>
      <w:tr>
        <w:tblPrEx>
          <w:tblCellMar>
            <w:top w:w="15" w:type="dxa"/>
            <w:left w:w="15" w:type="dxa"/>
            <w:bottom w:w="15" w:type="dxa"/>
            <w:right w:w="15" w:type="dxa"/>
          </w:tblCellMar>
        </w:tblPrEx>
        <w:trPr>
          <w:trHeight w:val="495" w:hRule="atLeast"/>
        </w:trPr>
        <w:tc>
          <w:tcPr>
            <w:tcW w:w="8721" w:type="dxa"/>
            <w:gridSpan w:val="5"/>
            <w:tcBorders>
              <w:top w:val="single" w:color="000000" w:sz="6" w:space="0"/>
              <w:left w:val="single" w:color="000000" w:sz="6" w:space="0"/>
              <w:bottom w:val="single" w:color="000000" w:sz="6" w:space="0"/>
              <w:right w:val="single" w:color="000000" w:sz="6" w:space="0"/>
            </w:tcBorders>
            <w:shd w:val="clear" w:color="auto" w:fill="C6D9F1"/>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15" w:type="dxa"/>
            <w:left w:w="15" w:type="dxa"/>
            <w:bottom w:w="15" w:type="dxa"/>
            <w:right w:w="15" w:type="dxa"/>
          </w:tblCellMar>
        </w:tblPrEx>
        <w:trPr>
          <w:trHeight w:val="87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000000" w:sz="6" w:space="0"/>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本年新</w:t>
            </w:r>
          </w:p>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制作数量</w:t>
            </w:r>
          </w:p>
        </w:tc>
        <w:tc>
          <w:tcPr>
            <w:tcW w:w="1459"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p>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公开数量</w:t>
            </w:r>
          </w:p>
        </w:tc>
        <w:tc>
          <w:tcPr>
            <w:tcW w:w="241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CellMar>
            <w:top w:w="15" w:type="dxa"/>
            <w:left w:w="15" w:type="dxa"/>
            <w:bottom w:w="15" w:type="dxa"/>
            <w:right w:w="15" w:type="dxa"/>
          </w:tblCellMar>
        </w:tblPrEx>
        <w:trPr>
          <w:trHeight w:val="51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875"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45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241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CellMar>
            <w:top w:w="15" w:type="dxa"/>
            <w:left w:w="15" w:type="dxa"/>
            <w:bottom w:w="15" w:type="dxa"/>
            <w:right w:w="15" w:type="dxa"/>
          </w:tblCellMar>
        </w:tblPrEx>
        <w:trPr>
          <w:trHeight w:val="465"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1875"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bidi="ar-SA"/>
              </w:rPr>
            </w:pPr>
            <w:r>
              <w:rPr>
                <w:rFonts w:hint="eastAsia" w:ascii="宋体" w:hAnsi="宋体" w:eastAsia="宋体" w:cs="宋体"/>
                <w:color w:val="000000"/>
                <w:kern w:val="0"/>
                <w:sz w:val="20"/>
                <w:szCs w:val="20"/>
                <w:lang w:val="en-US" w:eastAsia="zh-CN"/>
              </w:rPr>
              <w:t>0</w:t>
            </w:r>
          </w:p>
        </w:tc>
        <w:tc>
          <w:tcPr>
            <w:tcW w:w="145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bidi="ar-SA"/>
              </w:rPr>
            </w:pPr>
            <w:r>
              <w:rPr>
                <w:rFonts w:hint="eastAsia" w:ascii="宋体" w:hAnsi="宋体" w:eastAsia="宋体" w:cs="宋体"/>
                <w:color w:val="000000"/>
                <w:kern w:val="0"/>
                <w:sz w:val="20"/>
                <w:szCs w:val="20"/>
                <w:lang w:val="en-US" w:eastAsia="zh-CN"/>
              </w:rPr>
              <w:t>0</w:t>
            </w:r>
          </w:p>
        </w:tc>
        <w:tc>
          <w:tcPr>
            <w:tcW w:w="241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bidi="ar-SA"/>
              </w:rPr>
            </w:pPr>
            <w:r>
              <w:rPr>
                <w:rFonts w:hint="eastAsia" w:ascii="宋体" w:hAnsi="宋体" w:eastAsia="宋体" w:cs="宋体"/>
                <w:color w:val="000000"/>
                <w:kern w:val="0"/>
                <w:sz w:val="20"/>
                <w:szCs w:val="20"/>
                <w:lang w:val="en-US" w:eastAsia="zh-CN"/>
              </w:rPr>
              <w:t>0</w:t>
            </w:r>
          </w:p>
        </w:tc>
      </w:tr>
      <w:tr>
        <w:tblPrEx>
          <w:tblCellMar>
            <w:top w:w="15" w:type="dxa"/>
            <w:left w:w="15" w:type="dxa"/>
            <w:bottom w:w="15" w:type="dxa"/>
            <w:right w:w="15" w:type="dxa"/>
          </w:tblCellMar>
        </w:tblPrEx>
        <w:trPr>
          <w:trHeight w:val="480" w:hRule="atLeast"/>
        </w:trPr>
        <w:tc>
          <w:tcPr>
            <w:tcW w:w="8721" w:type="dxa"/>
            <w:gridSpan w:val="5"/>
            <w:tcBorders>
              <w:top w:val="single" w:color="auto" w:sz="4" w:space="0"/>
              <w:left w:val="single" w:color="auto" w:sz="4" w:space="0"/>
              <w:bottom w:val="single" w:color="auto" w:sz="4" w:space="0"/>
              <w:right w:val="single" w:color="auto" w:sz="4" w:space="0"/>
            </w:tcBorders>
            <w:shd w:val="clear" w:color="auto" w:fill="C6D9F1"/>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15" w:type="dxa"/>
            <w:left w:w="15" w:type="dxa"/>
            <w:bottom w:w="15" w:type="dxa"/>
            <w:right w:w="15" w:type="dxa"/>
          </w:tblCellMar>
        </w:tblPrEx>
        <w:trPr>
          <w:trHeight w:val="63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000000" w:sz="6" w:space="0"/>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260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15" w:type="dxa"/>
            <w:left w:w="15" w:type="dxa"/>
            <w:bottom w:w="15" w:type="dxa"/>
            <w:right w:w="15" w:type="dxa"/>
          </w:tblCellMar>
        </w:tblPrEx>
        <w:trPr>
          <w:trHeight w:val="525"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1875"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0"/>
                <w:szCs w:val="20"/>
                <w:lang w:val="en-US" w:eastAsia="zh-CN"/>
              </w:rPr>
            </w:pPr>
            <w:r>
              <w:rPr>
                <w:rFonts w:hint="eastAsia" w:ascii="宋体" w:hAnsi="宋体" w:eastAsia="宋体" w:cs="宋体"/>
                <w:color w:val="333333"/>
                <w:sz w:val="20"/>
                <w:szCs w:val="20"/>
                <w:lang w:val="en-US" w:eastAsia="zh-CN"/>
              </w:rPr>
              <w:t>11</w:t>
            </w:r>
          </w:p>
        </w:tc>
        <w:tc>
          <w:tcPr>
            <w:tcW w:w="126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0"/>
                <w:szCs w:val="20"/>
                <w:lang w:val="en-US" w:eastAsia="zh-CN"/>
              </w:rPr>
            </w:pPr>
            <w:r>
              <w:rPr>
                <w:rFonts w:hint="eastAsia" w:ascii="宋体" w:hAnsi="宋体" w:eastAsia="宋体" w:cs="宋体"/>
                <w:color w:val="333333"/>
                <w:sz w:val="20"/>
                <w:szCs w:val="20"/>
                <w:lang w:val="en-US" w:eastAsia="zh-CN"/>
              </w:rPr>
              <w:t>+5</w:t>
            </w:r>
          </w:p>
        </w:tc>
        <w:tc>
          <w:tcPr>
            <w:tcW w:w="260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0"/>
                <w:szCs w:val="20"/>
                <w:lang w:val="en-US" w:eastAsia="zh-CN"/>
              </w:rPr>
            </w:pPr>
            <w:r>
              <w:rPr>
                <w:rFonts w:hint="eastAsia" w:ascii="宋体" w:hAnsi="宋体" w:eastAsia="宋体" w:cs="宋体"/>
                <w:color w:val="333333"/>
                <w:sz w:val="20"/>
                <w:szCs w:val="20"/>
                <w:lang w:val="en-US" w:eastAsia="zh-CN"/>
              </w:rPr>
              <w:t>16</w:t>
            </w:r>
          </w:p>
        </w:tc>
      </w:tr>
      <w:tr>
        <w:tblPrEx>
          <w:tblCellMar>
            <w:top w:w="15" w:type="dxa"/>
            <w:left w:w="15" w:type="dxa"/>
            <w:bottom w:w="15" w:type="dxa"/>
            <w:right w:w="15" w:type="dxa"/>
          </w:tblCellMar>
        </w:tblPrEx>
        <w:trPr>
          <w:trHeight w:val="54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1875"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0"/>
                <w:szCs w:val="20"/>
                <w:lang w:val="en-US" w:eastAsia="zh-CN"/>
              </w:rPr>
            </w:pPr>
            <w:r>
              <w:rPr>
                <w:rFonts w:hint="eastAsia" w:ascii="宋体" w:hAnsi="宋体" w:eastAsia="宋体" w:cs="宋体"/>
                <w:color w:val="333333"/>
                <w:sz w:val="20"/>
                <w:szCs w:val="20"/>
                <w:lang w:val="en-US" w:eastAsia="zh-CN"/>
              </w:rPr>
              <w:t>125</w:t>
            </w:r>
          </w:p>
        </w:tc>
        <w:tc>
          <w:tcPr>
            <w:tcW w:w="126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0"/>
                <w:szCs w:val="20"/>
                <w:lang w:val="en-US" w:eastAsia="zh-CN"/>
              </w:rPr>
            </w:pPr>
            <w:r>
              <w:rPr>
                <w:rFonts w:hint="eastAsia" w:ascii="宋体" w:hAnsi="宋体" w:eastAsia="宋体" w:cs="宋体"/>
                <w:color w:val="333333"/>
                <w:sz w:val="20"/>
                <w:szCs w:val="20"/>
                <w:lang w:val="en-US" w:eastAsia="zh-CN"/>
              </w:rPr>
              <w:t>-41</w:t>
            </w:r>
          </w:p>
        </w:tc>
        <w:tc>
          <w:tcPr>
            <w:tcW w:w="260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0"/>
                <w:szCs w:val="20"/>
                <w:lang w:val="en-US" w:eastAsia="zh-CN"/>
              </w:rPr>
            </w:pPr>
            <w:r>
              <w:rPr>
                <w:rFonts w:hint="eastAsia" w:ascii="宋体" w:hAnsi="宋体" w:eastAsia="宋体" w:cs="宋体"/>
                <w:color w:val="333333"/>
                <w:sz w:val="20"/>
                <w:szCs w:val="20"/>
                <w:lang w:val="en-US" w:eastAsia="zh-CN"/>
              </w:rPr>
              <w:t>84</w:t>
            </w:r>
          </w:p>
        </w:tc>
      </w:tr>
      <w:tr>
        <w:tblPrEx>
          <w:tblCellMar>
            <w:top w:w="15" w:type="dxa"/>
            <w:left w:w="15" w:type="dxa"/>
            <w:bottom w:w="15" w:type="dxa"/>
            <w:right w:w="15" w:type="dxa"/>
          </w:tblCellMar>
        </w:tblPrEx>
        <w:trPr>
          <w:trHeight w:val="405" w:hRule="atLeast"/>
        </w:trPr>
        <w:tc>
          <w:tcPr>
            <w:tcW w:w="8721" w:type="dxa"/>
            <w:gridSpan w:val="5"/>
            <w:tcBorders>
              <w:top w:val="single" w:color="auto" w:sz="4" w:space="0"/>
              <w:left w:val="single" w:color="auto" w:sz="4" w:space="0"/>
              <w:bottom w:val="single" w:color="auto" w:sz="4" w:space="0"/>
              <w:right w:val="single" w:color="auto" w:sz="4" w:space="0"/>
            </w:tcBorders>
            <w:shd w:val="clear" w:color="auto" w:fill="C6D9F1"/>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15" w:type="dxa"/>
            <w:left w:w="15" w:type="dxa"/>
            <w:bottom w:w="15" w:type="dxa"/>
            <w:right w:w="15" w:type="dxa"/>
          </w:tblCellMar>
        </w:tblPrEx>
        <w:trPr>
          <w:trHeight w:val="63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000000" w:sz="6" w:space="0"/>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260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15" w:type="dxa"/>
            <w:left w:w="15" w:type="dxa"/>
            <w:bottom w:w="15" w:type="dxa"/>
            <w:right w:w="15" w:type="dxa"/>
          </w:tblCellMar>
        </w:tblPrEx>
        <w:trPr>
          <w:trHeight w:val="42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1875"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color w:val="333333"/>
                <w:sz w:val="20"/>
                <w:szCs w:val="20"/>
                <w:lang w:val="en-US" w:eastAsia="zh-CN"/>
              </w:rPr>
              <w:t>52</w:t>
            </w:r>
          </w:p>
        </w:tc>
        <w:tc>
          <w:tcPr>
            <w:tcW w:w="126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color w:val="333333"/>
                <w:sz w:val="20"/>
                <w:szCs w:val="20"/>
                <w:lang w:val="en-US" w:eastAsia="zh-CN"/>
              </w:rPr>
              <w:t>-33</w:t>
            </w:r>
          </w:p>
        </w:tc>
        <w:tc>
          <w:tcPr>
            <w:tcW w:w="260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color w:val="333333"/>
                <w:sz w:val="20"/>
                <w:szCs w:val="20"/>
                <w:lang w:val="en-US" w:eastAsia="zh-CN"/>
              </w:rPr>
              <w:t>19</w:t>
            </w:r>
          </w:p>
        </w:tc>
      </w:tr>
      <w:tr>
        <w:tblPrEx>
          <w:tblCellMar>
            <w:top w:w="15" w:type="dxa"/>
            <w:left w:w="15" w:type="dxa"/>
            <w:bottom w:w="15" w:type="dxa"/>
            <w:right w:w="15" w:type="dxa"/>
          </w:tblCellMar>
        </w:tblPrEx>
        <w:trPr>
          <w:trHeight w:val="405"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1875"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color w:val="333333"/>
                <w:sz w:val="20"/>
                <w:szCs w:val="20"/>
                <w:lang w:val="en-US" w:eastAsia="zh-CN"/>
              </w:rPr>
              <w:t>9</w:t>
            </w:r>
          </w:p>
        </w:tc>
        <w:tc>
          <w:tcPr>
            <w:tcW w:w="126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color w:val="333333"/>
                <w:sz w:val="20"/>
                <w:szCs w:val="20"/>
                <w:lang w:val="en-US" w:eastAsia="zh-CN"/>
              </w:rPr>
              <w:t>-9</w:t>
            </w:r>
          </w:p>
        </w:tc>
        <w:tc>
          <w:tcPr>
            <w:tcW w:w="2609" w:type="dxa"/>
            <w:gridSpan w:val="2"/>
            <w:tcBorders>
              <w:bottom w:val="single" w:color="000000" w:sz="6" w:space="0"/>
              <w:right w:val="single" w:color="000000" w:sz="6"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Theme="minorEastAsia" w:hAnsiTheme="minorEastAsia" w:eastAsiaTheme="minorEastAsia" w:cstheme="minorEastAsia"/>
                <w:kern w:val="0"/>
                <w:sz w:val="20"/>
                <w:szCs w:val="20"/>
                <w:lang w:val="en-US" w:eastAsia="zh-CN"/>
              </w:rPr>
            </w:pPr>
            <w:r>
              <w:rPr>
                <w:rFonts w:hint="eastAsia" w:asciiTheme="minorEastAsia" w:hAnsiTheme="minorEastAsia" w:eastAsiaTheme="minorEastAsia" w:cstheme="minorEastAsia"/>
                <w:color w:val="333333"/>
                <w:sz w:val="20"/>
                <w:szCs w:val="20"/>
                <w:lang w:val="en-US" w:eastAsia="zh-CN"/>
              </w:rPr>
              <w:t>0</w:t>
            </w:r>
          </w:p>
        </w:tc>
      </w:tr>
      <w:tr>
        <w:tblPrEx>
          <w:tblCellMar>
            <w:top w:w="15" w:type="dxa"/>
            <w:left w:w="15" w:type="dxa"/>
            <w:bottom w:w="15" w:type="dxa"/>
            <w:right w:w="15" w:type="dxa"/>
          </w:tblCellMar>
        </w:tblPrEx>
        <w:trPr>
          <w:trHeight w:val="465" w:hRule="atLeast"/>
        </w:trPr>
        <w:tc>
          <w:tcPr>
            <w:tcW w:w="8721" w:type="dxa"/>
            <w:gridSpan w:val="5"/>
            <w:tcBorders>
              <w:top w:val="single" w:color="auto" w:sz="4" w:space="0"/>
              <w:left w:val="single" w:color="auto" w:sz="4" w:space="0"/>
              <w:bottom w:val="single" w:color="auto" w:sz="4" w:space="0"/>
              <w:right w:val="single" w:color="auto" w:sz="4" w:space="0"/>
            </w:tcBorders>
            <w:shd w:val="clear" w:color="auto" w:fill="C6D9F1"/>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15" w:type="dxa"/>
            <w:left w:w="15" w:type="dxa"/>
            <w:bottom w:w="15" w:type="dxa"/>
            <w:right w:w="15" w:type="dxa"/>
          </w:tblCellMar>
        </w:tblPrEx>
        <w:trPr>
          <w:trHeight w:val="27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869" w:type="dxa"/>
            <w:gridSpan w:val="3"/>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CellMar>
            <w:top w:w="15" w:type="dxa"/>
            <w:left w:w="15" w:type="dxa"/>
            <w:bottom w:w="15" w:type="dxa"/>
            <w:right w:w="15" w:type="dxa"/>
          </w:tblCellMar>
        </w:tblPrEx>
        <w:trPr>
          <w:trHeight w:val="540"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1875" w:type="dxa"/>
            <w:tcBorders>
              <w:left w:val="single" w:color="auto" w:sz="4" w:space="0"/>
              <w:bottom w:val="single" w:color="auto" w:sz="4"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3869" w:type="dxa"/>
            <w:gridSpan w:val="3"/>
            <w:tcBorders>
              <w:bottom w:val="single" w:color="auto" w:sz="4"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p>
        </w:tc>
      </w:tr>
      <w:tr>
        <w:tblPrEx>
          <w:tblCellMar>
            <w:top w:w="15" w:type="dxa"/>
            <w:left w:w="15" w:type="dxa"/>
            <w:bottom w:w="15" w:type="dxa"/>
            <w:right w:w="15" w:type="dxa"/>
          </w:tblCellMar>
        </w:tblPrEx>
        <w:trPr>
          <w:trHeight w:val="465" w:hRule="atLeast"/>
        </w:trPr>
        <w:tc>
          <w:tcPr>
            <w:tcW w:w="8721" w:type="dxa"/>
            <w:gridSpan w:val="5"/>
            <w:tcBorders>
              <w:top w:val="single" w:color="auto" w:sz="4" w:space="0"/>
              <w:left w:val="single" w:color="auto" w:sz="4" w:space="0"/>
              <w:bottom w:val="single" w:color="auto" w:sz="4" w:space="0"/>
              <w:right w:val="single" w:color="auto" w:sz="4" w:space="0"/>
            </w:tcBorders>
            <w:shd w:val="clear" w:color="auto" w:fill="C6D9F1"/>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第二十条第（九）项</w:t>
            </w:r>
          </w:p>
        </w:tc>
      </w:tr>
      <w:tr>
        <w:tblPrEx>
          <w:tblCellMar>
            <w:top w:w="15" w:type="dxa"/>
            <w:left w:w="15" w:type="dxa"/>
            <w:bottom w:w="15" w:type="dxa"/>
            <w:right w:w="15" w:type="dxa"/>
          </w:tblCellMar>
        </w:tblPrEx>
        <w:trPr>
          <w:trHeight w:val="585"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采购项目数量</w:t>
            </w:r>
          </w:p>
        </w:tc>
        <w:tc>
          <w:tcPr>
            <w:tcW w:w="3869" w:type="dxa"/>
            <w:gridSpan w:val="3"/>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采购总金额</w:t>
            </w:r>
          </w:p>
        </w:tc>
      </w:tr>
      <w:tr>
        <w:tblPrEx>
          <w:tblCellMar>
            <w:top w:w="15" w:type="dxa"/>
            <w:left w:w="15" w:type="dxa"/>
            <w:bottom w:w="15" w:type="dxa"/>
            <w:right w:w="15" w:type="dxa"/>
          </w:tblCellMar>
        </w:tblPrEx>
        <w:trPr>
          <w:trHeight w:val="525" w:hRule="atLeast"/>
        </w:trPr>
        <w:tc>
          <w:tcPr>
            <w:tcW w:w="2977"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left"/>
              <w:rPr>
                <w:rFonts w:ascii="宋体" w:hAnsi="宋体" w:eastAsia="宋体" w:cs="宋体"/>
                <w:kern w:val="0"/>
                <w:sz w:val="24"/>
                <w:szCs w:val="24"/>
              </w:rPr>
            </w:pPr>
            <w:r>
              <w:rPr>
                <w:rFonts w:hint="eastAsia" w:ascii="宋体" w:hAnsi="宋体" w:eastAsia="宋体" w:cs="宋体"/>
                <w:color w:val="000000"/>
                <w:kern w:val="0"/>
                <w:sz w:val="20"/>
                <w:szCs w:val="20"/>
              </w:rPr>
              <w:t>政府集中采购</w:t>
            </w:r>
          </w:p>
        </w:tc>
        <w:tc>
          <w:tcPr>
            <w:tcW w:w="1875"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4"/>
                <w:szCs w:val="24"/>
                <w:lang w:val="en-US" w:eastAsia="zh-CN"/>
              </w:rPr>
            </w:pPr>
            <w:r>
              <w:rPr>
                <w:rFonts w:hint="eastAsia" w:ascii="宋体" w:hAnsi="宋体" w:eastAsia="宋体" w:cs="宋体"/>
                <w:color w:val="333333"/>
                <w:sz w:val="20"/>
                <w:szCs w:val="20"/>
                <w:lang w:val="en-US" w:eastAsia="zh-CN"/>
              </w:rPr>
              <w:t>2</w:t>
            </w:r>
            <w:r>
              <w:rPr>
                <w:rFonts w:hint="eastAsia" w:ascii="宋体" w:hAnsi="宋体" w:eastAsia="宋体" w:cs="宋体"/>
                <w:color w:val="333333"/>
                <w:sz w:val="20"/>
                <w:szCs w:val="20"/>
              </w:rPr>
              <w:t>个</w:t>
            </w:r>
          </w:p>
        </w:tc>
        <w:tc>
          <w:tcPr>
            <w:tcW w:w="3869" w:type="dxa"/>
            <w:gridSpan w:val="3"/>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adjustRightInd/>
              <w:snapToGrid/>
              <w:spacing w:before="100" w:beforeAutospacing="1" w:after="100" w:afterAutospacing="1"/>
              <w:jc w:val="center"/>
              <w:rPr>
                <w:rFonts w:hint="eastAsia" w:ascii="宋体" w:hAnsi="宋体" w:eastAsia="宋体" w:cs="宋体"/>
                <w:kern w:val="0"/>
                <w:sz w:val="24"/>
                <w:szCs w:val="24"/>
                <w:lang w:val="en-US" w:eastAsia="zh-CN"/>
              </w:rPr>
            </w:pPr>
            <w:r>
              <w:rPr>
                <w:rFonts w:hint="eastAsia" w:ascii="宋体" w:hAnsi="宋体" w:eastAsia="宋体" w:cs="宋体"/>
                <w:color w:val="333333"/>
                <w:sz w:val="20"/>
                <w:szCs w:val="20"/>
                <w:lang w:val="en-US" w:eastAsia="zh-CN"/>
              </w:rPr>
              <w:t>1.3209</w:t>
            </w:r>
            <w:r>
              <w:rPr>
                <w:rFonts w:hint="eastAsia" w:ascii="宋体" w:hAnsi="宋体" w:eastAsia="宋体" w:cs="宋体"/>
                <w:color w:val="333333"/>
                <w:sz w:val="20"/>
                <w:szCs w:val="20"/>
              </w:rPr>
              <w:t>万</w:t>
            </w:r>
          </w:p>
        </w:tc>
      </w:tr>
    </w:tbl>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textAlignment w:val="auto"/>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lang w:eastAsia="zh-CN"/>
        </w:rPr>
        <w:t>三、</w:t>
      </w:r>
      <w:r>
        <w:rPr>
          <w:rFonts w:hint="eastAsia" w:ascii="黑体" w:hAnsi="黑体" w:eastAsia="黑体" w:cs="黑体"/>
          <w:color w:val="333333"/>
          <w:kern w:val="0"/>
          <w:sz w:val="32"/>
          <w:szCs w:val="32"/>
        </w:rPr>
        <w:t>收到和处理政府信息公开申请情况</w:t>
      </w:r>
    </w:p>
    <w:tbl>
      <w:tblPr>
        <w:tblStyle w:val="3"/>
        <w:tblW w:w="0" w:type="auto"/>
        <w:tblInd w:w="0" w:type="dxa"/>
        <w:tblLayout w:type="autofit"/>
        <w:tblCellMar>
          <w:top w:w="15" w:type="dxa"/>
          <w:left w:w="15" w:type="dxa"/>
          <w:bottom w:w="15" w:type="dxa"/>
          <w:right w:w="15" w:type="dxa"/>
        </w:tblCellMar>
      </w:tblPr>
      <w:tblGrid>
        <w:gridCol w:w="1075"/>
        <w:gridCol w:w="1078"/>
        <w:gridCol w:w="1821"/>
        <w:gridCol w:w="564"/>
        <w:gridCol w:w="695"/>
        <w:gridCol w:w="616"/>
        <w:gridCol w:w="853"/>
        <w:gridCol w:w="840"/>
        <w:gridCol w:w="410"/>
        <w:gridCol w:w="564"/>
      </w:tblGrid>
      <w:tr>
        <w:tblPrEx>
          <w:tblCellMar>
            <w:top w:w="15" w:type="dxa"/>
            <w:left w:w="15" w:type="dxa"/>
            <w:bottom w:w="15" w:type="dxa"/>
            <w:right w:w="15" w:type="dxa"/>
          </w:tblCellMar>
        </w:tblPrEx>
        <w:tc>
          <w:tcPr>
            <w:tcW w:w="3974" w:type="dxa"/>
            <w:gridSpan w:val="3"/>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（本列数据的勾稽关系为：第一项加第二项之和，等于第三项加第四项之和）</w:t>
            </w:r>
          </w:p>
        </w:tc>
        <w:tc>
          <w:tcPr>
            <w:tcW w:w="4542" w:type="dxa"/>
            <w:gridSpan w:val="7"/>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申请人情况</w:t>
            </w:r>
          </w:p>
        </w:tc>
      </w:tr>
      <w:tr>
        <w:tblPrEx>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vAlign w:val="center"/>
          </w:tcPr>
          <w:p>
            <w:pPr>
              <w:adjustRightInd/>
              <w:snapToGrid/>
              <w:spacing w:after="0"/>
              <w:rPr>
                <w:rFonts w:ascii="微软雅黑" w:hAnsi="微软雅黑" w:cs="宋体"/>
                <w:color w:val="333333"/>
                <w:sz w:val="21"/>
                <w:szCs w:val="21"/>
              </w:rPr>
            </w:pPr>
          </w:p>
        </w:tc>
        <w:tc>
          <w:tcPr>
            <w:tcW w:w="564"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自</w:t>
            </w:r>
          </w:p>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然人</w:t>
            </w:r>
          </w:p>
        </w:tc>
        <w:tc>
          <w:tcPr>
            <w:tcW w:w="3414" w:type="dxa"/>
            <w:gridSpan w:val="5"/>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法人或其他组织</w:t>
            </w:r>
          </w:p>
        </w:tc>
        <w:tc>
          <w:tcPr>
            <w:tcW w:w="564"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总计</w:t>
            </w:r>
          </w:p>
        </w:tc>
      </w:tr>
      <w:tr>
        <w:tblPrEx>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vAlign w:val="center"/>
          </w:tcPr>
          <w:p>
            <w:pPr>
              <w:adjustRightInd/>
              <w:snapToGrid/>
              <w:spacing w:after="0"/>
              <w:rPr>
                <w:rFonts w:ascii="微软雅黑" w:hAnsi="微软雅黑" w:cs="宋体"/>
                <w:color w:val="333333"/>
                <w:sz w:val="21"/>
                <w:szCs w:val="21"/>
              </w:rPr>
            </w:pPr>
          </w:p>
        </w:tc>
        <w:tc>
          <w:tcPr>
            <w:tcW w:w="0" w:type="auto"/>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商业企业</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科研机构</w:t>
            </w:r>
          </w:p>
        </w:tc>
        <w:tc>
          <w:tcPr>
            <w:tcW w:w="853"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社会公益组织</w:t>
            </w:r>
          </w:p>
        </w:tc>
        <w:tc>
          <w:tcPr>
            <w:tcW w:w="84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法律服务机构</w:t>
            </w:r>
          </w:p>
        </w:tc>
        <w:tc>
          <w:tcPr>
            <w:tcW w:w="41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其他</w:t>
            </w:r>
          </w:p>
        </w:tc>
        <w:tc>
          <w:tcPr>
            <w:tcW w:w="0" w:type="auto"/>
            <w:vMerge w:val="continue"/>
            <w:tcBorders>
              <w:top w:val="single" w:color="auto" w:sz="6" w:space="0"/>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r>
      <w:tr>
        <w:tblPrEx>
          <w:tblCellMar>
            <w:top w:w="15" w:type="dxa"/>
            <w:left w:w="15" w:type="dxa"/>
            <w:bottom w:w="15" w:type="dxa"/>
            <w:right w:w="15" w:type="dxa"/>
          </w:tblCellMar>
        </w:tblPrEx>
        <w:tc>
          <w:tcPr>
            <w:tcW w:w="3974"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宋体" w:hAnsi="宋体" w:eastAsia="宋体" w:cs="宋体"/>
                <w:color w:val="333333"/>
                <w:sz w:val="20"/>
                <w:szCs w:val="20"/>
              </w:rPr>
              <w:t>一、本年新收政府信息公开申请数量</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3974"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宋体" w:hAnsi="宋体" w:eastAsia="宋体" w:cs="宋体"/>
                <w:color w:val="333333"/>
                <w:sz w:val="20"/>
                <w:szCs w:val="20"/>
              </w:rPr>
              <w:t>二、上年结转政府信息公开申请数量</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1075" w:type="dxa"/>
            <w:vMerge w:val="restart"/>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ascii="微软雅黑" w:hAnsi="微软雅黑" w:cs="宋体"/>
                <w:color w:val="333333"/>
                <w:sz w:val="21"/>
                <w:szCs w:val="21"/>
              </w:rPr>
            </w:pPr>
            <w:r>
              <w:rPr>
                <w:rFonts w:hint="eastAsia" w:ascii="宋体" w:hAnsi="宋体" w:eastAsia="宋体" w:cs="宋体"/>
                <w:color w:val="333333"/>
                <w:sz w:val="20"/>
                <w:szCs w:val="20"/>
              </w:rPr>
              <w:t>三、本年度办理结果</w:t>
            </w:r>
          </w:p>
        </w:tc>
        <w:tc>
          <w:tcPr>
            <w:tcW w:w="289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（一）予以公开</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289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（二）部分公开（区分处理的，只计这一情形，不计其他情形）</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rPr>
          <w:trHeight w:val="455" w:hRule="atLeast"/>
        </w:trPr>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（三）不予公开</w:t>
            </w: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1.属于国家秘密</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rPr>
          <w:trHeight w:val="534" w:hRule="atLeast"/>
        </w:trPr>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2.其他法律行政法规禁止公开</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3.</w:t>
            </w:r>
            <w:r>
              <w:rPr>
                <w:rFonts w:hint="eastAsia" w:ascii="仿宋" w:hAnsi="仿宋" w:eastAsia="仿宋" w:cs="Times New Roman"/>
                <w:color w:val="333333"/>
                <w:sz w:val="20"/>
                <w:szCs w:val="20"/>
              </w:rPr>
              <w:t>危及</w:t>
            </w:r>
            <w:r>
              <w:rPr>
                <w:rFonts w:ascii="仿宋" w:hAnsi="仿宋" w:eastAsia="仿宋" w:cs="Times New Roman"/>
                <w:color w:val="333333"/>
                <w:sz w:val="20"/>
                <w:szCs w:val="20"/>
              </w:rPr>
              <w:t>“</w:t>
            </w:r>
            <w:r>
              <w:rPr>
                <w:rFonts w:hint="eastAsia" w:ascii="仿宋" w:hAnsi="仿宋" w:eastAsia="仿宋" w:cs="Times New Roman"/>
                <w:color w:val="333333"/>
                <w:sz w:val="20"/>
                <w:szCs w:val="20"/>
              </w:rPr>
              <w:t>三安全一稳定</w:t>
            </w:r>
            <w:r>
              <w:rPr>
                <w:rFonts w:ascii="仿宋" w:hAnsi="仿宋" w:eastAsia="仿宋" w:cs="Times New Roman"/>
                <w:color w:val="333333"/>
                <w:sz w:val="20"/>
                <w:szCs w:val="20"/>
              </w:rPr>
              <w:t>”</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4.保护第三方合法权益</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5.属于三类内部事务信息</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6.属于四类过程性信息</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rPr>
          <w:trHeight w:val="480" w:hRule="atLeast"/>
        </w:trPr>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7.属于行政执法案卷</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仿宋" w:hAnsi="仿宋" w:eastAsia="仿宋" w:cs="宋体"/>
                <w:color w:val="333333"/>
                <w:sz w:val="21"/>
                <w:szCs w:val="21"/>
              </w:rPr>
            </w:pPr>
            <w:r>
              <w:rPr>
                <w:rFonts w:ascii="仿宋" w:hAnsi="仿宋" w:eastAsia="仿宋" w:cs="Times New Roman"/>
                <w:color w:val="333333"/>
                <w:sz w:val="20"/>
                <w:szCs w:val="20"/>
              </w:rPr>
              <w:t>8.属于行政查询事项</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（四）无法提供</w:t>
            </w: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1.本机关不掌握相关政府信息</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2.没有现成信息需要另行制作</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3.补正后申请内容仍不明确</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（五）不予处理</w:t>
            </w: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1.信访举报投诉类申请</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2.重复申请</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3.要求提供公开出版物</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4.无正当理由大量反复申请</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078" w:type="dxa"/>
            <w:vMerge w:val="continue"/>
            <w:tcBorders>
              <w:top w:val="nil"/>
              <w:left w:val="nil"/>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182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5.要求行政机关确认或重新出具已获取信息</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289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（六）其他处理</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0" w:type="auto"/>
            <w:vMerge w:val="continue"/>
            <w:tcBorders>
              <w:top w:val="nil"/>
              <w:left w:val="single" w:color="auto" w:sz="6" w:space="0"/>
              <w:bottom w:val="single" w:color="auto" w:sz="6" w:space="0"/>
              <w:right w:val="single" w:color="auto" w:sz="6" w:space="0"/>
            </w:tcBorders>
            <w:vAlign w:val="center"/>
          </w:tcPr>
          <w:p>
            <w:pPr>
              <w:adjustRightInd/>
              <w:snapToGrid/>
              <w:spacing w:after="0"/>
              <w:rPr>
                <w:rFonts w:ascii="微软雅黑" w:hAnsi="微软雅黑" w:cs="宋体"/>
                <w:color w:val="333333"/>
                <w:sz w:val="21"/>
                <w:szCs w:val="21"/>
              </w:rPr>
            </w:pPr>
          </w:p>
        </w:tc>
        <w:tc>
          <w:tcPr>
            <w:tcW w:w="289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楷体" w:hAnsi="楷体" w:eastAsia="楷体" w:cs="宋体"/>
                <w:color w:val="333333"/>
                <w:sz w:val="20"/>
                <w:szCs w:val="20"/>
              </w:rPr>
              <w:t>（七）总计</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r>
        <w:tblPrEx>
          <w:tblCellMar>
            <w:top w:w="15" w:type="dxa"/>
            <w:left w:w="15" w:type="dxa"/>
            <w:bottom w:w="15" w:type="dxa"/>
            <w:right w:w="15" w:type="dxa"/>
          </w:tblCellMar>
        </w:tblPrEx>
        <w:tc>
          <w:tcPr>
            <w:tcW w:w="3974"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rPr>
                <w:rFonts w:ascii="微软雅黑" w:hAnsi="微软雅黑" w:cs="宋体"/>
                <w:color w:val="333333"/>
                <w:sz w:val="21"/>
                <w:szCs w:val="21"/>
              </w:rPr>
            </w:pPr>
            <w:r>
              <w:rPr>
                <w:rFonts w:hint="eastAsia" w:ascii="宋体" w:hAnsi="宋体" w:eastAsia="宋体" w:cs="宋体"/>
                <w:color w:val="333333"/>
                <w:sz w:val="20"/>
                <w:szCs w:val="20"/>
              </w:rPr>
              <w:t>四、结转下年度继续办理</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9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616"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53"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84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4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c>
          <w:tcPr>
            <w:tcW w:w="56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adjustRightInd/>
              <w:snapToGrid/>
              <w:spacing w:before="100" w:beforeAutospacing="1" w:after="100" w:afterAutospacing="1"/>
              <w:jc w:val="center"/>
              <w:rPr>
                <w:rFonts w:hint="eastAsia" w:ascii="宋体" w:hAnsi="宋体" w:eastAsia="宋体" w:cs="宋体"/>
                <w:color w:val="333333"/>
                <w:sz w:val="20"/>
                <w:szCs w:val="20"/>
                <w:lang w:val="en-US" w:eastAsia="zh-CN" w:bidi="ar-SA"/>
              </w:rPr>
            </w:pPr>
            <w:r>
              <w:rPr>
                <w:rFonts w:hint="eastAsia" w:ascii="宋体" w:hAnsi="宋体" w:eastAsia="宋体" w:cs="宋体"/>
                <w:color w:val="333333"/>
                <w:sz w:val="20"/>
                <w:szCs w:val="20"/>
                <w:lang w:val="en-US" w:eastAsia="zh-CN"/>
              </w:rPr>
              <w:t>0</w:t>
            </w:r>
          </w:p>
        </w:tc>
      </w:tr>
    </w:tbl>
    <w:p>
      <w:pPr>
        <w:keepNext w:val="0"/>
        <w:keepLines w:val="0"/>
        <w:pageBreakBefore w:val="0"/>
        <w:widowControl/>
        <w:kinsoku/>
        <w:wordWrap/>
        <w:overflowPunct/>
        <w:topLinePunct w:val="0"/>
        <w:autoSpaceDE/>
        <w:autoSpaceDN/>
        <w:bidi w:val="0"/>
        <w:adjustRightInd/>
        <w:snapToGrid/>
        <w:spacing w:line="552" w:lineRule="exact"/>
        <w:ind w:firstLine="480"/>
        <w:textAlignment w:val="auto"/>
        <w:rPr>
          <w:rFonts w:hint="eastAsia" w:ascii="仿宋_GB2312" w:hAnsi="仿宋_GB2312" w:eastAsia="仿宋_GB2312" w:cs="仿宋_GB2312"/>
          <w:color w:val="333333"/>
          <w:kern w:val="0"/>
          <w:sz w:val="32"/>
          <w:szCs w:val="32"/>
        </w:rPr>
      </w:pPr>
    </w:p>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jc w:val="left"/>
        <w:textAlignment w:val="auto"/>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四、政府信息公开行政复议、行政诉讼情况</w:t>
      </w:r>
    </w:p>
    <w:tbl>
      <w:tblPr>
        <w:tblStyle w:val="3"/>
        <w:tblW w:w="0" w:type="auto"/>
        <w:tblInd w:w="0" w:type="dxa"/>
        <w:tblLayout w:type="autofit"/>
        <w:tblCellMar>
          <w:top w:w="15" w:type="dxa"/>
          <w:left w:w="15" w:type="dxa"/>
          <w:bottom w:w="15" w:type="dxa"/>
          <w:right w:w="15" w:type="dxa"/>
        </w:tblCellMar>
      </w:tblPr>
      <w:tblGrid>
        <w:gridCol w:w="563"/>
        <w:gridCol w:w="563"/>
        <w:gridCol w:w="564"/>
        <w:gridCol w:w="564"/>
        <w:gridCol w:w="600"/>
        <w:gridCol w:w="516"/>
        <w:gridCol w:w="564"/>
        <w:gridCol w:w="564"/>
        <w:gridCol w:w="564"/>
        <w:gridCol w:w="564"/>
        <w:gridCol w:w="564"/>
        <w:gridCol w:w="564"/>
        <w:gridCol w:w="564"/>
        <w:gridCol w:w="564"/>
        <w:gridCol w:w="544"/>
      </w:tblGrid>
      <w:tr>
        <w:trPr>
          <w:trHeight w:val="405" w:hRule="atLeast"/>
        </w:trPr>
        <w:tc>
          <w:tcPr>
            <w:tcW w:w="600"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行政复议</w:t>
            </w:r>
          </w:p>
        </w:tc>
        <w:tc>
          <w:tcPr>
            <w:tcW w:w="540" w:type="dxa"/>
            <w:gridSpan w:val="10"/>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行政诉讼</w:t>
            </w:r>
          </w:p>
        </w:tc>
      </w:tr>
      <w:tr>
        <w:tblPrEx>
          <w:tblCellMar>
            <w:top w:w="15" w:type="dxa"/>
            <w:left w:w="15" w:type="dxa"/>
            <w:bottom w:w="15" w:type="dxa"/>
            <w:right w:w="15" w:type="dxa"/>
          </w:tblCellMar>
        </w:tblPrEx>
        <w:trPr>
          <w:trHeight w:val="405" w:hRule="atLeast"/>
        </w:trPr>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结果维持</w:t>
            </w:r>
          </w:p>
        </w:tc>
        <w:tc>
          <w:tcPr>
            <w:tcW w:w="600" w:type="dxa"/>
            <w:vMerge w:val="restart"/>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结果纠正</w:t>
            </w:r>
          </w:p>
        </w:tc>
        <w:tc>
          <w:tcPr>
            <w:tcW w:w="600"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0"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尚未审结</w:t>
            </w:r>
          </w:p>
        </w:tc>
        <w:tc>
          <w:tcPr>
            <w:tcW w:w="645"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540"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未经复议直接起诉</w:t>
            </w:r>
          </w:p>
        </w:tc>
        <w:tc>
          <w:tcPr>
            <w:tcW w:w="600"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复议后起诉</w:t>
            </w:r>
          </w:p>
        </w:tc>
      </w:tr>
      <w:tr>
        <w:tblPrEx>
          <w:tblCellMar>
            <w:top w:w="15" w:type="dxa"/>
            <w:left w:w="15" w:type="dxa"/>
            <w:bottom w:w="15" w:type="dxa"/>
            <w:right w:w="15" w:type="dxa"/>
          </w:tblCellMar>
        </w:tblPrEx>
        <w:trPr>
          <w:trHeight w:val="40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0" w:type="auto"/>
            <w:vMerge w:val="continue"/>
            <w:tcBorders>
              <w:left w:val="single" w:color="auto" w:sz="4" w:space="0"/>
              <w:bottom w:val="single" w:color="000000" w:sz="6" w:space="0"/>
              <w:right w:val="single" w:color="000000"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宋体" w:hAnsi="宋体" w:eastAsia="宋体" w:cs="宋体"/>
                <w:kern w:val="0"/>
                <w:sz w:val="24"/>
                <w:szCs w:val="24"/>
              </w:rPr>
            </w:pPr>
          </w:p>
        </w:tc>
        <w:tc>
          <w:tcPr>
            <w:tcW w:w="54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结果维持</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结果纠正</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尚未审结</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结果维持</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结果纠正</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尚未审结</w:t>
            </w:r>
          </w:p>
        </w:tc>
        <w:tc>
          <w:tcPr>
            <w:tcW w:w="60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CellMar>
            <w:top w:w="15" w:type="dxa"/>
            <w:left w:w="15" w:type="dxa"/>
            <w:bottom w:w="15" w:type="dxa"/>
            <w:right w:w="15" w:type="dxa"/>
          </w:tblCellMar>
        </w:tblPrEx>
        <w:trPr>
          <w:trHeight w:val="405" w:hRule="atLeast"/>
        </w:trPr>
        <w:tc>
          <w:tcPr>
            <w:tcW w:w="600" w:type="dxa"/>
            <w:tcBorders>
              <w:top w:val="single" w:color="auto" w:sz="4" w:space="0"/>
              <w:left w:val="single" w:color="auto" w:sz="4" w:space="0"/>
              <w:bottom w:val="single" w:color="auto" w:sz="4" w:space="0"/>
              <w:right w:val="single" w:color="auto" w:sz="4"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0" w:type="dxa"/>
            <w:tcBorders>
              <w:left w:val="single" w:color="auto" w:sz="4" w:space="0"/>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45"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54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spacing w:line="312" w:lineRule="auto"/>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0" w:type="dxa"/>
            <w:tcBorders>
              <w:bottom w:val="single" w:color="000000" w:sz="6" w:space="0"/>
              <w:right w:val="single" w:color="000000" w:sz="6" w:space="0"/>
            </w:tcBorders>
            <w:shd w:val="clear" w:color="auto" w:fill="auto"/>
            <w:tcMar>
              <w:top w:w="60" w:type="dxa"/>
              <w:left w:w="60" w:type="dxa"/>
              <w:bottom w:w="45" w:type="dxa"/>
              <w:right w:w="60"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textAlignment w:val="auto"/>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五、存在的主要问题及改进情况</w:t>
      </w:r>
    </w:p>
    <w:p>
      <w:pPr>
        <w:keepNext w:val="0"/>
        <w:keepLines w:val="0"/>
        <w:pageBreakBefore w:val="0"/>
        <w:widowControl/>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rPr>
        <w:t>政府信息公开工作存在的主要问题及改进情况</w:t>
      </w:r>
      <w:r>
        <w:rPr>
          <w:rFonts w:hint="eastAsia" w:ascii="仿宋_GB2312" w:hAnsi="仿宋_GB2312" w:eastAsia="仿宋_GB2312" w:cs="仿宋_GB2312"/>
          <w:color w:val="333333"/>
          <w:kern w:val="0"/>
          <w:sz w:val="32"/>
          <w:szCs w:val="32"/>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rPr>
        <w:t>信息公开的内容有待进一步完善，</w:t>
      </w:r>
      <w:r>
        <w:rPr>
          <w:rFonts w:hint="eastAsia" w:ascii="仿宋_GB2312" w:hAnsi="仿宋_GB2312" w:eastAsia="仿宋_GB2312" w:cs="仿宋_GB2312"/>
          <w:color w:val="333333"/>
          <w:kern w:val="0"/>
          <w:sz w:val="32"/>
          <w:szCs w:val="32"/>
          <w:lang w:eastAsia="zh-CN"/>
        </w:rPr>
        <w:t>内容较单一，需不断丰富政府信息公开内容，提升政务公开层次，拉近与公众需求的距离。</w:t>
      </w:r>
    </w:p>
    <w:p>
      <w:pPr>
        <w:keepNext w:val="0"/>
        <w:keepLines w:val="0"/>
        <w:pageBreakBefore w:val="0"/>
        <w:widowControl/>
        <w:numPr>
          <w:ilvl w:val="0"/>
          <w:numId w:val="3"/>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信息</w:t>
      </w:r>
      <w:r>
        <w:rPr>
          <w:rFonts w:hint="eastAsia" w:ascii="仿宋_GB2312" w:hAnsi="仿宋_GB2312" w:eastAsia="仿宋_GB2312" w:cs="仿宋_GB2312"/>
          <w:color w:val="333333"/>
          <w:kern w:val="0"/>
          <w:sz w:val="32"/>
          <w:szCs w:val="32"/>
          <w:lang w:eastAsia="zh-CN"/>
        </w:rPr>
        <w:t>公开的时效性也有待进一步提高</w:t>
      </w:r>
      <w:r>
        <w:rPr>
          <w:rFonts w:hint="eastAsia" w:ascii="仿宋_GB2312" w:hAnsi="仿宋_GB2312" w:eastAsia="仿宋_GB2312" w:cs="仿宋_GB2312"/>
          <w:color w:val="333333"/>
          <w:kern w:val="0"/>
          <w:sz w:val="32"/>
          <w:szCs w:val="32"/>
        </w:rPr>
        <w:t>，</w:t>
      </w:r>
      <w:r>
        <w:rPr>
          <w:rFonts w:hint="eastAsia" w:ascii="仿宋_GB2312" w:hAnsi="仿宋_GB2312" w:eastAsia="仿宋_GB2312" w:cs="仿宋_GB2312"/>
          <w:color w:val="333333"/>
          <w:kern w:val="0"/>
          <w:sz w:val="32"/>
          <w:szCs w:val="32"/>
          <w:lang w:eastAsia="zh-CN"/>
        </w:rPr>
        <w:t>我局将强化信息保障机制，注重信息的“时、度、效”，大力宣传社会主义核心价值观，有效进行正面舆论引导</w:t>
      </w:r>
      <w:r>
        <w:rPr>
          <w:rFonts w:hint="eastAsia" w:ascii="仿宋" w:hAnsi="仿宋" w:eastAsia="仿宋" w:cs="仿宋"/>
          <w:i w:val="0"/>
          <w:caps w:val="0"/>
          <w:color w:val="333333"/>
          <w:spacing w:val="0"/>
          <w:sz w:val="25"/>
          <w:szCs w:val="25"/>
          <w:shd w:val="clear" w:fill="FFFFFF"/>
        </w:rPr>
        <w:t>。</w:t>
      </w:r>
    </w:p>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textAlignment w:val="auto"/>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六、其他需要报告的事项</w:t>
      </w:r>
    </w:p>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无</w:t>
      </w:r>
    </w:p>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textAlignment w:val="auto"/>
        <w:rPr>
          <w:rFonts w:hint="eastAsia" w:ascii="仿宋_GB2312" w:hAnsi="仿宋_GB2312" w:eastAsia="仿宋_GB2312" w:cs="仿宋_GB2312"/>
          <w:color w:val="333333"/>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textAlignment w:val="auto"/>
        <w:rPr>
          <w:rFonts w:hint="eastAsia" w:ascii="仿宋_GB2312" w:hAnsi="仿宋_GB2312" w:eastAsia="仿宋_GB2312" w:cs="仿宋_GB2312"/>
          <w:color w:val="333333"/>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52" w:lineRule="exact"/>
        <w:ind w:left="0" w:leftChars="0" w:firstLine="640" w:firstLineChars="200"/>
        <w:jc w:val="right"/>
        <w:textAlignment w:val="auto"/>
        <w:rPr>
          <w:rFonts w:hint="default"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2021年1月8日</w:t>
      </w:r>
    </w:p>
    <w:p>
      <w:pPr>
        <w:keepNext w:val="0"/>
        <w:keepLines w:val="0"/>
        <w:pageBreakBefore w:val="0"/>
        <w:widowControl/>
        <w:kinsoku/>
        <w:wordWrap/>
        <w:overflowPunct/>
        <w:topLinePunct w:val="0"/>
        <w:autoSpaceDE/>
        <w:autoSpaceDN/>
        <w:bidi w:val="0"/>
        <w:adjustRightInd/>
        <w:snapToGrid/>
        <w:spacing w:line="552" w:lineRule="exact"/>
        <w:ind w:firstLine="480"/>
        <w:textAlignment w:val="auto"/>
        <w:rPr>
          <w:rFonts w:hint="eastAsia" w:ascii="仿宋_GB2312" w:hAnsi="仿宋_GB2312" w:eastAsia="仿宋_GB2312" w:cs="仿宋_GB2312"/>
          <w:color w:val="333333"/>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649DB4"/>
    <w:multiLevelType w:val="singleLevel"/>
    <w:tmpl w:val="B1649DB4"/>
    <w:lvl w:ilvl="0" w:tentative="0">
      <w:start w:val="1"/>
      <w:numFmt w:val="decimal"/>
      <w:suff w:val="nothing"/>
      <w:lvlText w:val="%1、"/>
      <w:lvlJc w:val="left"/>
    </w:lvl>
  </w:abstractNum>
  <w:abstractNum w:abstractNumId="1">
    <w:nsid w:val="B2D7BC77"/>
    <w:multiLevelType w:val="singleLevel"/>
    <w:tmpl w:val="B2D7BC77"/>
    <w:lvl w:ilvl="0" w:tentative="0">
      <w:start w:val="4"/>
      <w:numFmt w:val="chineseCounting"/>
      <w:suff w:val="nothing"/>
      <w:lvlText w:val="（%1）"/>
      <w:lvlJc w:val="left"/>
      <w:rPr>
        <w:rFonts w:hint="eastAsia"/>
      </w:rPr>
    </w:lvl>
  </w:abstractNum>
  <w:abstractNum w:abstractNumId="2">
    <w:nsid w:val="46DAA6D4"/>
    <w:multiLevelType w:val="singleLevel"/>
    <w:tmpl w:val="46DAA6D4"/>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1E9"/>
    <w:rsid w:val="009551E9"/>
    <w:rsid w:val="00F66DAB"/>
    <w:rsid w:val="05BF08BE"/>
    <w:rsid w:val="10314CD6"/>
    <w:rsid w:val="25622220"/>
    <w:rsid w:val="2DD86F49"/>
    <w:rsid w:val="2F056E39"/>
    <w:rsid w:val="3578602C"/>
    <w:rsid w:val="3A3646D4"/>
    <w:rsid w:val="3C5F04AC"/>
    <w:rsid w:val="3FB952DE"/>
    <w:rsid w:val="678A2238"/>
    <w:rsid w:val="74905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260</Words>
  <Characters>1485</Characters>
  <Lines>12</Lines>
  <Paragraphs>3</Paragraphs>
  <TotalTime>5</TotalTime>
  <ScaleCrop>false</ScaleCrop>
  <LinksUpToDate>false</LinksUpToDate>
  <CharactersWithSpaces>1742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2020-01-14T03:00:00Z</dcterms:created>
  <dc:creator>Administrator</dc:creator>
  <cp:lastModifiedBy>锦夏</cp:lastModifiedBy>
  <cp:lastPrinted>2020-01-15T08:59:00Z</cp:lastPrinted>
  <dcterms:modified xsi:type="dcterms:W3CDTF">2021-04-29T11:51:10Z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D74B8ACCB1B545478602CB4B4C1342B2</vt:lpwstr>
  </property>
</Properties>
</file>