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75" w:beforeAutospacing="0" w:after="75" w:afterAutospacing="0" w:line="600" w:lineRule="exact"/>
        <w:ind w:left="0" w:right="0" w:firstLine="0"/>
        <w:jc w:val="center"/>
        <w:textAlignment w:val="auto"/>
        <w:rPr>
          <w:rFonts w:ascii="微软雅黑" w:hAnsi="微软雅黑" w:eastAsia="微软雅黑" w:cs="微软雅黑"/>
          <w:i w:val="0"/>
          <w:iCs w:val="0"/>
          <w:caps w:val="0"/>
          <w:color w:val="000000"/>
          <w:spacing w:val="0"/>
          <w:sz w:val="27"/>
          <w:szCs w:val="27"/>
        </w:rPr>
      </w:pPr>
      <w:bookmarkStart w:id="0" w:name="_GoBack"/>
      <w:r>
        <w:rPr>
          <w:rFonts w:ascii="方正小标宋简体" w:hAnsi="方正小标宋简体" w:eastAsia="方正小标宋简体" w:cs="方正小标宋简体"/>
          <w:i w:val="0"/>
          <w:iCs w:val="0"/>
          <w:caps w:val="0"/>
          <w:color w:val="333333"/>
          <w:spacing w:val="0"/>
          <w:sz w:val="43"/>
          <w:szCs w:val="43"/>
          <w:shd w:val="clear" w:fill="FFFFFF"/>
        </w:rPr>
        <w:t>靖安县</w:t>
      </w:r>
      <w:r>
        <w:rPr>
          <w:rFonts w:hint="eastAsia" w:ascii="方正小标宋简体" w:hAnsi="方正小标宋简体" w:eastAsia="方正小标宋简体" w:cs="方正小标宋简体"/>
          <w:i w:val="0"/>
          <w:iCs w:val="0"/>
          <w:caps w:val="0"/>
          <w:color w:val="333333"/>
          <w:spacing w:val="0"/>
          <w:sz w:val="43"/>
          <w:szCs w:val="43"/>
          <w:shd w:val="clear" w:fill="FFFFFF"/>
        </w:rPr>
        <w:t>水利局2019年政府信息公开工作</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75" w:beforeAutospacing="0" w:after="75" w:afterAutospacing="0" w:line="600" w:lineRule="exact"/>
        <w:ind w:left="0" w:right="0" w:firstLine="0"/>
        <w:jc w:val="center"/>
        <w:textAlignment w:val="auto"/>
        <w:rPr>
          <w:rFonts w:hint="eastAsia" w:ascii="微软雅黑" w:hAnsi="微软雅黑" w:eastAsia="微软雅黑" w:cs="微软雅黑"/>
          <w:i w:val="0"/>
          <w:iCs w:val="0"/>
          <w:caps w:val="0"/>
          <w:color w:val="000000"/>
          <w:spacing w:val="0"/>
          <w:sz w:val="27"/>
          <w:szCs w:val="27"/>
        </w:rPr>
      </w:pPr>
      <w:r>
        <w:rPr>
          <w:rFonts w:hint="eastAsia" w:ascii="方正小标宋简体" w:hAnsi="方正小标宋简体" w:eastAsia="方正小标宋简体" w:cs="方正小标宋简体"/>
          <w:i w:val="0"/>
          <w:iCs w:val="0"/>
          <w:caps w:val="0"/>
          <w:color w:val="333333"/>
          <w:spacing w:val="0"/>
          <w:sz w:val="43"/>
          <w:szCs w:val="43"/>
          <w:shd w:val="clear" w:fill="FFFFFF"/>
        </w:rPr>
        <w:t>年度报告</w:t>
      </w:r>
    </w:p>
    <w:bookmarkEnd w:id="0"/>
    <w:p>
      <w:pPr>
        <w:pStyle w:val="2"/>
        <w:keepNext w:val="0"/>
        <w:keepLines w:val="0"/>
        <w:widowControl/>
        <w:suppressLineNumbers w:val="0"/>
        <w:shd w:val="clear" w:fill="FFFFFF"/>
        <w:spacing w:before="75" w:beforeAutospacing="0" w:after="75" w:afterAutospacing="0"/>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333333"/>
          <w:spacing w:val="0"/>
          <w:sz w:val="22"/>
          <w:szCs w:val="22"/>
          <w:shd w:val="clear" w:fill="FFFFFF"/>
        </w:rPr>
        <w:t> </w:t>
      </w:r>
    </w:p>
    <w:p>
      <w:pPr>
        <w:pStyle w:val="2"/>
        <w:keepNext w:val="0"/>
        <w:keepLines w:val="0"/>
        <w:widowControl/>
        <w:suppressLineNumbers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000000"/>
          <w:spacing w:val="0"/>
          <w:sz w:val="27"/>
          <w:szCs w:val="27"/>
        </w:rPr>
      </w:pPr>
      <w:r>
        <w:rPr>
          <w:rFonts w:ascii="仿宋_GB2312" w:hAnsi="仿宋_GB2312" w:eastAsia="仿宋_GB2312" w:cs="仿宋_GB2312"/>
          <w:i w:val="0"/>
          <w:iCs w:val="0"/>
          <w:caps w:val="0"/>
          <w:color w:val="333333"/>
          <w:spacing w:val="0"/>
          <w:sz w:val="31"/>
          <w:szCs w:val="31"/>
        </w:rPr>
        <w:t>根据《中华人民共和国政府信息公开条例》和靖安县人民政府办公室有关信息公开工作的文件要求，特向社会公布</w:t>
      </w:r>
      <w:r>
        <w:rPr>
          <w:rFonts w:hint="eastAsia" w:ascii="仿宋_GB2312" w:hAnsi="仿宋_GB2312" w:eastAsia="仿宋_GB2312" w:cs="仿宋_GB2312"/>
          <w:i w:val="0"/>
          <w:iCs w:val="0"/>
          <w:caps w:val="0"/>
          <w:color w:val="333333"/>
          <w:spacing w:val="0"/>
          <w:sz w:val="31"/>
          <w:szCs w:val="31"/>
        </w:rPr>
        <w:t>2019年度本部门信息公开年度报告。统计数据时间截止到2019年12月31日，年度报告的电子版通过靖安县人民政府门户网站的政府信息公开专栏全文公开，如有疑问请与靖安县水利局办公室联系（地址：靖安县沿河中路51号；邮编：330699；联系电话：0795-4662717）。</w:t>
      </w:r>
    </w:p>
    <w:p>
      <w:pPr>
        <w:pStyle w:val="2"/>
        <w:keepNext w:val="0"/>
        <w:keepLines w:val="0"/>
        <w:widowControl/>
        <w:suppressLineNumbers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000000"/>
          <w:spacing w:val="0"/>
          <w:sz w:val="27"/>
          <w:szCs w:val="27"/>
        </w:rPr>
      </w:pPr>
      <w:r>
        <w:rPr>
          <w:rFonts w:ascii="黑体" w:hAnsi="宋体" w:eastAsia="黑体" w:cs="黑体"/>
          <w:i w:val="0"/>
          <w:iCs w:val="0"/>
          <w:caps w:val="0"/>
          <w:color w:val="333333"/>
          <w:spacing w:val="0"/>
          <w:sz w:val="31"/>
          <w:szCs w:val="31"/>
          <w:shd w:val="clear" w:fill="FFFFFF"/>
        </w:rPr>
        <w:t>一、总体情况</w:t>
      </w:r>
    </w:p>
    <w:p>
      <w:pPr>
        <w:pStyle w:val="2"/>
        <w:keepNext w:val="0"/>
        <w:keepLines w:val="0"/>
        <w:widowControl/>
        <w:suppressLineNumbers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000000"/>
          <w:spacing w:val="0"/>
          <w:sz w:val="27"/>
          <w:szCs w:val="27"/>
        </w:rPr>
      </w:pPr>
      <w:r>
        <w:rPr>
          <w:rFonts w:hint="eastAsia" w:ascii="仿宋_GB2312" w:hAnsi="仿宋_GB2312" w:eastAsia="仿宋_GB2312" w:cs="仿宋_GB2312"/>
          <w:i w:val="0"/>
          <w:iCs w:val="0"/>
          <w:caps w:val="0"/>
          <w:color w:val="333333"/>
          <w:spacing w:val="0"/>
          <w:sz w:val="31"/>
          <w:szCs w:val="31"/>
        </w:rPr>
        <w:t>2019年，我局认真贯彻省、市、县关于政府信息公开的工作部署，把政府信息公开工作作为加强水利工作宣传、提高服务效能、提升服务形象工作来抓。主要</w:t>
      </w:r>
    </w:p>
    <w:p>
      <w:pPr>
        <w:pStyle w:val="2"/>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iCs w:val="0"/>
          <w:caps w:val="0"/>
          <w:color w:val="000000"/>
          <w:spacing w:val="0"/>
          <w:sz w:val="27"/>
          <w:szCs w:val="27"/>
        </w:rPr>
      </w:pPr>
      <w:r>
        <w:rPr>
          <w:rFonts w:ascii="仿宋_GB2312" w:hAnsi="微软雅黑" w:eastAsia="仿宋_GB2312" w:cs="仿宋_GB2312"/>
          <w:i w:val="0"/>
          <w:iCs w:val="0"/>
          <w:caps w:val="0"/>
          <w:color w:val="333333"/>
          <w:spacing w:val="0"/>
          <w:sz w:val="31"/>
          <w:szCs w:val="31"/>
        </w:rPr>
        <w:t>主要</w:t>
      </w:r>
      <w:r>
        <w:rPr>
          <w:rFonts w:hint="eastAsia" w:ascii="仿宋_GB2312" w:hAnsi="微软雅黑" w:eastAsia="仿宋_GB2312" w:cs="仿宋_GB2312"/>
          <w:i w:val="0"/>
          <w:iCs w:val="0"/>
          <w:caps w:val="0"/>
          <w:color w:val="333333"/>
          <w:spacing w:val="0"/>
          <w:sz w:val="31"/>
          <w:szCs w:val="31"/>
        </w:rPr>
        <w:t>包括主动公开、依申请公开、政府信息管理、平台建设，监督保障等。</w:t>
      </w:r>
    </w:p>
    <w:p>
      <w:pPr>
        <w:pStyle w:val="2"/>
        <w:keepNext w:val="0"/>
        <w:keepLines w:val="0"/>
        <w:widowControl/>
        <w:suppressLineNumbers w:val="0"/>
        <w:spacing w:before="0" w:beforeAutospacing="0" w:after="0" w:afterAutospacing="0" w:line="555" w:lineRule="atLeast"/>
        <w:ind w:left="0" w:right="0" w:firstLine="480"/>
        <w:jc w:val="both"/>
        <w:rPr>
          <w:rFonts w:hint="eastAsia" w:ascii="微软雅黑" w:hAnsi="微软雅黑" w:eastAsia="微软雅黑" w:cs="微软雅黑"/>
          <w:i w:val="0"/>
          <w:iCs w:val="0"/>
          <w:caps w:val="0"/>
          <w:color w:val="000000"/>
          <w:spacing w:val="0"/>
          <w:sz w:val="27"/>
          <w:szCs w:val="27"/>
        </w:rPr>
      </w:pPr>
      <w:r>
        <w:rPr>
          <w:rStyle w:val="5"/>
          <w:rFonts w:ascii="楷体_GB2312" w:hAnsi="楷体_GB2312" w:eastAsia="楷体_GB2312" w:cs="楷体_GB2312"/>
          <w:i w:val="0"/>
          <w:iCs w:val="0"/>
          <w:caps w:val="0"/>
          <w:color w:val="333333"/>
          <w:spacing w:val="0"/>
          <w:sz w:val="31"/>
          <w:szCs w:val="31"/>
        </w:rPr>
        <w:t>（一）主动公开</w:t>
      </w:r>
    </w:p>
    <w:p>
      <w:pPr>
        <w:pStyle w:val="2"/>
        <w:keepNext w:val="0"/>
        <w:keepLines w:val="0"/>
        <w:widowControl/>
        <w:suppressLineNumbers w:val="0"/>
        <w:spacing w:before="0" w:beforeAutospacing="0" w:after="0" w:afterAutospacing="0" w:line="555" w:lineRule="atLeast"/>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仿宋_GB2312" w:hAnsi="仿宋_GB2312" w:eastAsia="仿宋_GB2312" w:cs="仿宋_GB2312"/>
          <w:i w:val="0"/>
          <w:iCs w:val="0"/>
          <w:caps w:val="0"/>
          <w:color w:val="333333"/>
          <w:spacing w:val="0"/>
          <w:sz w:val="31"/>
          <w:szCs w:val="31"/>
        </w:rPr>
        <w:t> 2019年度,我局共发布政府信息23条，其中财政预结算4条，工作动态4条，概况信息1条，政策文件1条，政府信息年度报告1条等。</w:t>
      </w:r>
    </w:p>
    <w:p>
      <w:pPr>
        <w:pStyle w:val="2"/>
        <w:keepNext w:val="0"/>
        <w:keepLines w:val="0"/>
        <w:widowControl/>
        <w:suppressLineNumbers w:val="0"/>
        <w:spacing w:before="0" w:beforeAutospacing="0" w:after="0" w:afterAutospacing="0" w:line="555" w:lineRule="atLeast"/>
        <w:ind w:left="0" w:right="0" w:firstLine="480"/>
        <w:jc w:val="both"/>
        <w:rPr>
          <w:rFonts w:hint="eastAsia" w:ascii="微软雅黑" w:hAnsi="微软雅黑" w:eastAsia="微软雅黑" w:cs="微软雅黑"/>
          <w:i w:val="0"/>
          <w:iCs w:val="0"/>
          <w:caps w:val="0"/>
          <w:color w:val="000000"/>
          <w:spacing w:val="0"/>
          <w:sz w:val="27"/>
          <w:szCs w:val="27"/>
        </w:rPr>
      </w:pPr>
      <w:r>
        <w:rPr>
          <w:rStyle w:val="5"/>
          <w:rFonts w:hint="eastAsia" w:ascii="楷体_GB2312" w:hAnsi="楷体_GB2312" w:eastAsia="楷体_GB2312" w:cs="楷体_GB2312"/>
          <w:i w:val="0"/>
          <w:iCs w:val="0"/>
          <w:caps w:val="0"/>
          <w:color w:val="333333"/>
          <w:spacing w:val="0"/>
          <w:sz w:val="31"/>
          <w:szCs w:val="31"/>
        </w:rPr>
        <w:t>（二）依申请公开</w:t>
      </w:r>
    </w:p>
    <w:p>
      <w:pPr>
        <w:pStyle w:val="2"/>
        <w:keepNext w:val="0"/>
        <w:keepLines w:val="0"/>
        <w:widowControl/>
        <w:suppressLineNumbers w:val="0"/>
        <w:spacing w:before="0" w:beforeAutospacing="0" w:after="0" w:afterAutospacing="0" w:line="555" w:lineRule="atLeast"/>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仿宋_GB2312" w:hAnsi="仿宋_GB2312" w:eastAsia="仿宋_GB2312" w:cs="仿宋_GB2312"/>
          <w:i w:val="0"/>
          <w:iCs w:val="0"/>
          <w:caps w:val="0"/>
          <w:color w:val="333333"/>
          <w:spacing w:val="0"/>
          <w:sz w:val="31"/>
          <w:szCs w:val="31"/>
        </w:rPr>
        <w:t>2019年，本单位未收到依申请公开文件。</w:t>
      </w:r>
    </w:p>
    <w:p>
      <w:pPr>
        <w:pStyle w:val="2"/>
        <w:keepNext w:val="0"/>
        <w:keepLines w:val="0"/>
        <w:widowControl/>
        <w:suppressLineNumbers w:val="0"/>
        <w:spacing w:before="0" w:beforeAutospacing="0" w:after="0" w:afterAutospacing="0" w:line="555" w:lineRule="atLeast"/>
        <w:ind w:left="0" w:right="0" w:firstLine="480"/>
        <w:jc w:val="both"/>
        <w:rPr>
          <w:rFonts w:hint="eastAsia" w:ascii="微软雅黑" w:hAnsi="微软雅黑" w:eastAsia="微软雅黑" w:cs="微软雅黑"/>
          <w:i w:val="0"/>
          <w:iCs w:val="0"/>
          <w:caps w:val="0"/>
          <w:color w:val="000000"/>
          <w:spacing w:val="0"/>
          <w:sz w:val="27"/>
          <w:szCs w:val="27"/>
        </w:rPr>
      </w:pPr>
      <w:r>
        <w:rPr>
          <w:rStyle w:val="5"/>
          <w:rFonts w:hint="eastAsia" w:ascii="楷体_GB2312" w:hAnsi="楷体_GB2312" w:eastAsia="楷体_GB2312" w:cs="楷体_GB2312"/>
          <w:i w:val="0"/>
          <w:iCs w:val="0"/>
          <w:caps w:val="0"/>
          <w:color w:val="333333"/>
          <w:spacing w:val="0"/>
          <w:sz w:val="31"/>
          <w:szCs w:val="31"/>
        </w:rPr>
        <w:t>（三）政府信息管理。</w:t>
      </w:r>
      <w:r>
        <w:rPr>
          <w:rFonts w:hint="eastAsia" w:ascii="仿宋_GB2312" w:hAnsi="仿宋_GB2312" w:eastAsia="仿宋_GB2312" w:cs="仿宋_GB2312"/>
          <w:i w:val="0"/>
          <w:iCs w:val="0"/>
          <w:caps w:val="0"/>
          <w:color w:val="333333"/>
          <w:spacing w:val="0"/>
          <w:sz w:val="31"/>
          <w:szCs w:val="31"/>
        </w:rPr>
        <w:t>今年，根据人员调整变动情况，及时调整了水利局政府信息公开工作领导小组，并下设办公室在局办公室，负责组织、指导、协调和监督全局政府信息公开工作。</w:t>
      </w:r>
    </w:p>
    <w:p>
      <w:pPr>
        <w:pStyle w:val="2"/>
        <w:keepNext w:val="0"/>
        <w:keepLines w:val="0"/>
        <w:widowControl/>
        <w:suppressLineNumbers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000000"/>
          <w:spacing w:val="0"/>
          <w:sz w:val="27"/>
          <w:szCs w:val="27"/>
        </w:rPr>
      </w:pPr>
      <w:r>
        <w:rPr>
          <w:rStyle w:val="5"/>
          <w:rFonts w:hint="eastAsia" w:ascii="楷体_GB2312" w:hAnsi="楷体_GB2312" w:eastAsia="楷体_GB2312" w:cs="楷体_GB2312"/>
          <w:i w:val="0"/>
          <w:iCs w:val="0"/>
          <w:caps w:val="0"/>
          <w:color w:val="333333"/>
          <w:spacing w:val="0"/>
          <w:sz w:val="31"/>
          <w:szCs w:val="31"/>
        </w:rPr>
        <w:t>（四）平台建设。</w:t>
      </w:r>
      <w:r>
        <w:rPr>
          <w:rFonts w:hint="eastAsia" w:ascii="仿宋_GB2312" w:hAnsi="仿宋_GB2312" w:eastAsia="仿宋_GB2312" w:cs="仿宋_GB2312"/>
          <w:i w:val="0"/>
          <w:iCs w:val="0"/>
          <w:caps w:val="0"/>
          <w:color w:val="333333"/>
          <w:spacing w:val="0"/>
          <w:sz w:val="31"/>
          <w:szCs w:val="31"/>
        </w:rPr>
        <w:t>一是强化社会监督。鼓励新闻媒体、群众代表等社会各界人士积极参与监督，积极反映公开过程中存在的突出问题，设立民生电话，及时处理有关政务公开方面的来信来访。二是依托“靖安县政府信息公开网”平台，及时发布各类信息，推进电子政务建设和网上政务公开。</w:t>
      </w:r>
    </w:p>
    <w:p>
      <w:pPr>
        <w:pStyle w:val="2"/>
        <w:keepNext w:val="0"/>
        <w:keepLines w:val="0"/>
        <w:widowControl/>
        <w:suppressLineNumbers w:val="0"/>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000000"/>
          <w:spacing w:val="0"/>
          <w:sz w:val="27"/>
          <w:szCs w:val="27"/>
        </w:rPr>
      </w:pPr>
      <w:r>
        <w:rPr>
          <w:rStyle w:val="5"/>
          <w:rFonts w:hint="eastAsia" w:ascii="楷体_GB2312" w:hAnsi="楷体_GB2312" w:eastAsia="楷体_GB2312" w:cs="楷体_GB2312"/>
          <w:i w:val="0"/>
          <w:iCs w:val="0"/>
          <w:caps w:val="0"/>
          <w:color w:val="333333"/>
          <w:spacing w:val="0"/>
          <w:sz w:val="31"/>
          <w:szCs w:val="31"/>
        </w:rPr>
        <w:t>（五）监督管理。</w:t>
      </w:r>
      <w:r>
        <w:rPr>
          <w:rFonts w:hint="eastAsia" w:ascii="仿宋_GB2312" w:hAnsi="仿宋_GB2312" w:eastAsia="仿宋_GB2312" w:cs="仿宋_GB2312"/>
          <w:i w:val="0"/>
          <w:iCs w:val="0"/>
          <w:caps w:val="0"/>
          <w:color w:val="333333"/>
          <w:spacing w:val="0"/>
          <w:sz w:val="31"/>
          <w:szCs w:val="31"/>
        </w:rPr>
        <w:t>加强对全体干部职工的宣传教育和对社会公众的宣传，增加政府信息公开的意识，形成信息公开工作的良好氛围。组织干部职工学习《中华人民共和国政府信息公开条例》，开展“政府信息公开的理论与实务”培训，提高信息公开承办人员能力素质。</w:t>
      </w:r>
    </w:p>
    <w:p>
      <w:pPr>
        <w:pStyle w:val="2"/>
        <w:keepNext w:val="0"/>
        <w:keepLines w:val="0"/>
        <w:widowControl/>
        <w:suppressLineNumbers w:val="0"/>
        <w:shd w:val="clear" w:fill="FFFFFF"/>
        <w:spacing w:before="75" w:beforeAutospacing="0" w:after="75" w:afterAutospacing="0"/>
        <w:ind w:left="0" w:right="0" w:firstLine="645"/>
        <w:jc w:val="both"/>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333333"/>
          <w:spacing w:val="0"/>
          <w:sz w:val="31"/>
          <w:szCs w:val="31"/>
          <w:shd w:val="clear" w:fill="FFFFFF"/>
        </w:rPr>
        <w:t>二、主动公开政府信息情况</w:t>
      </w:r>
    </w:p>
    <w:tbl>
      <w:tblPr>
        <w:tblW w:w="8145" w:type="dxa"/>
        <w:tblInd w:w="0" w:type="dxa"/>
        <w:shd w:val="clear"/>
        <w:tblLayout w:type="autofit"/>
        <w:tblCellMar>
          <w:top w:w="15" w:type="dxa"/>
          <w:left w:w="15" w:type="dxa"/>
          <w:bottom w:w="15" w:type="dxa"/>
          <w:right w:w="15" w:type="dxa"/>
        </w:tblCellMar>
      </w:tblPr>
      <w:tblGrid>
        <w:gridCol w:w="3120"/>
        <w:gridCol w:w="1875"/>
        <w:gridCol w:w="1275"/>
        <w:gridCol w:w="1875"/>
      </w:tblGrid>
      <w:tr>
        <w:tblPrEx>
          <w:shd w:val="clear"/>
          <w:tblCellMar>
            <w:top w:w="15" w:type="dxa"/>
            <w:left w:w="15" w:type="dxa"/>
            <w:bottom w:w="15" w:type="dxa"/>
            <w:right w:w="15" w:type="dxa"/>
          </w:tblCellMar>
        </w:tblPrEx>
        <w:trPr>
          <w:trHeight w:val="495" w:hRule="atLeast"/>
        </w:trPr>
        <w:tc>
          <w:tcPr>
            <w:tcW w:w="8145" w:type="dxa"/>
            <w:gridSpan w:val="4"/>
            <w:tcBorders>
              <w:top w:val="single" w:color="000000" w:sz="6" w:space="0"/>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第二十条第（一）项</w:t>
            </w:r>
          </w:p>
        </w:tc>
      </w:tr>
      <w:tr>
        <w:tblPrEx>
          <w:tblCellMar>
            <w:top w:w="15" w:type="dxa"/>
            <w:left w:w="15" w:type="dxa"/>
            <w:bottom w:w="15" w:type="dxa"/>
            <w:right w:w="15" w:type="dxa"/>
          </w:tblCellMar>
        </w:tblPrEx>
        <w:trPr>
          <w:trHeight w:val="88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信息内容</w:t>
            </w:r>
          </w:p>
        </w:tc>
        <w:tc>
          <w:tcPr>
            <w:tcW w:w="1875" w:type="dxa"/>
            <w:tcBorders>
              <w:top w:val="single" w:color="000000" w:sz="6" w:space="0"/>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本年新</w:t>
            </w:r>
            <w:r>
              <w:rPr>
                <w:rFonts w:hint="eastAsia" w:ascii="宋体" w:hAnsi="宋体" w:eastAsia="宋体" w:cs="宋体"/>
                <w:i w:val="0"/>
                <w:iCs w:val="0"/>
                <w:caps w:val="0"/>
                <w:color w:val="000000"/>
                <w:spacing w:val="0"/>
                <w:sz w:val="19"/>
                <w:szCs w:val="19"/>
              </w:rPr>
              <w:br w:type="textWrapping"/>
            </w:r>
            <w:r>
              <w:rPr>
                <w:rFonts w:hint="eastAsia" w:ascii="宋体" w:hAnsi="宋体" w:eastAsia="宋体" w:cs="宋体"/>
                <w:i w:val="0"/>
                <w:iCs w:val="0"/>
                <w:caps w:val="0"/>
                <w:color w:val="000000"/>
                <w:spacing w:val="0"/>
                <w:sz w:val="19"/>
                <w:szCs w:val="19"/>
              </w:rPr>
              <w:t>制作数量</w:t>
            </w:r>
          </w:p>
        </w:tc>
        <w:tc>
          <w:tcPr>
            <w:tcW w:w="1275"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本年新</w:t>
            </w:r>
            <w:r>
              <w:rPr>
                <w:rFonts w:hint="eastAsia" w:ascii="宋体" w:hAnsi="宋体" w:eastAsia="宋体" w:cs="宋体"/>
                <w:i w:val="0"/>
                <w:iCs w:val="0"/>
                <w:caps w:val="0"/>
                <w:color w:val="000000"/>
                <w:spacing w:val="0"/>
                <w:sz w:val="19"/>
                <w:szCs w:val="19"/>
              </w:rPr>
              <w:br w:type="textWrapping"/>
            </w:r>
            <w:r>
              <w:rPr>
                <w:rFonts w:hint="eastAsia" w:ascii="宋体" w:hAnsi="宋体" w:eastAsia="宋体" w:cs="宋体"/>
                <w:i w:val="0"/>
                <w:iCs w:val="0"/>
                <w:caps w:val="0"/>
                <w:color w:val="000000"/>
                <w:spacing w:val="0"/>
                <w:sz w:val="19"/>
                <w:szCs w:val="19"/>
              </w:rPr>
              <w:t>公开数量</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对外公开总数量</w:t>
            </w:r>
          </w:p>
        </w:tc>
      </w:tr>
      <w:tr>
        <w:tblPrEx>
          <w:tblCellMar>
            <w:top w:w="15" w:type="dxa"/>
            <w:left w:w="15" w:type="dxa"/>
            <w:bottom w:w="15" w:type="dxa"/>
            <w:right w:w="15" w:type="dxa"/>
          </w:tblCellMar>
        </w:tblPrEx>
        <w:trPr>
          <w:trHeight w:val="52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规章</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c>
          <w:tcPr>
            <w:tcW w:w="12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rPr>
          <w:trHeight w:val="46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规范性文件</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c>
          <w:tcPr>
            <w:tcW w:w="12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rPr>
          <w:trHeight w:val="480" w:hRule="atLeast"/>
        </w:trPr>
        <w:tc>
          <w:tcPr>
            <w:tcW w:w="8145" w:type="dxa"/>
            <w:gridSpan w:val="4"/>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第二十条第（五）项</w:t>
            </w:r>
          </w:p>
        </w:tc>
      </w:tr>
      <w:tr>
        <w:tblPrEx>
          <w:tblCellMar>
            <w:top w:w="15" w:type="dxa"/>
            <w:left w:w="15" w:type="dxa"/>
            <w:bottom w:w="15" w:type="dxa"/>
            <w:right w:w="15" w:type="dxa"/>
          </w:tblCellMar>
        </w:tblPrEx>
        <w:trPr>
          <w:trHeight w:val="630"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信息内容</w:t>
            </w:r>
          </w:p>
        </w:tc>
        <w:tc>
          <w:tcPr>
            <w:tcW w:w="1875" w:type="dxa"/>
            <w:tcBorders>
              <w:top w:val="single" w:color="000000" w:sz="6" w:space="0"/>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上一年项目数量</w:t>
            </w:r>
          </w:p>
        </w:tc>
        <w:tc>
          <w:tcPr>
            <w:tcW w:w="1275"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本年增/减</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处理决定数量</w:t>
            </w:r>
          </w:p>
        </w:tc>
      </w:tr>
      <w:tr>
        <w:tblPrEx>
          <w:tblCellMar>
            <w:top w:w="15" w:type="dxa"/>
            <w:left w:w="15" w:type="dxa"/>
            <w:bottom w:w="15" w:type="dxa"/>
            <w:right w:w="15" w:type="dxa"/>
          </w:tblCellMar>
        </w:tblPrEx>
        <w:trPr>
          <w:trHeight w:val="52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行政许可</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c>
          <w:tcPr>
            <w:tcW w:w="1260"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rPr>
          <w:trHeight w:val="55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其他对外管理服务事项</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c>
          <w:tcPr>
            <w:tcW w:w="1260"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rPr>
          <w:trHeight w:val="405" w:hRule="atLeast"/>
        </w:trPr>
        <w:tc>
          <w:tcPr>
            <w:tcW w:w="8145" w:type="dxa"/>
            <w:gridSpan w:val="4"/>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第二十条第（六）项</w:t>
            </w:r>
          </w:p>
        </w:tc>
      </w:tr>
      <w:tr>
        <w:tblPrEx>
          <w:tblCellMar>
            <w:top w:w="15" w:type="dxa"/>
            <w:left w:w="15" w:type="dxa"/>
            <w:bottom w:w="15" w:type="dxa"/>
            <w:right w:w="15" w:type="dxa"/>
          </w:tblCellMar>
        </w:tblPrEx>
        <w:trPr>
          <w:trHeight w:val="630"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信息内容</w:t>
            </w:r>
          </w:p>
        </w:tc>
        <w:tc>
          <w:tcPr>
            <w:tcW w:w="1875" w:type="dxa"/>
            <w:tcBorders>
              <w:top w:val="single" w:color="000000" w:sz="6" w:space="0"/>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上一年项目数量</w:t>
            </w:r>
          </w:p>
        </w:tc>
        <w:tc>
          <w:tcPr>
            <w:tcW w:w="1275"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本年增/减</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处理决定数量</w:t>
            </w:r>
          </w:p>
        </w:tc>
      </w:tr>
      <w:tr>
        <w:tblPrEx>
          <w:tblCellMar>
            <w:top w:w="15" w:type="dxa"/>
            <w:left w:w="15" w:type="dxa"/>
            <w:bottom w:w="15" w:type="dxa"/>
            <w:right w:w="15" w:type="dxa"/>
          </w:tblCellMar>
        </w:tblPrEx>
        <w:trPr>
          <w:trHeight w:val="43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行政处罚</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c>
          <w:tcPr>
            <w:tcW w:w="1260"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2</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2</w:t>
            </w:r>
          </w:p>
        </w:tc>
      </w:tr>
      <w:tr>
        <w:tblPrEx>
          <w:tblCellMar>
            <w:top w:w="15" w:type="dxa"/>
            <w:left w:w="15" w:type="dxa"/>
            <w:bottom w:w="15" w:type="dxa"/>
            <w:right w:w="15" w:type="dxa"/>
          </w:tblCellMar>
        </w:tblPrEx>
        <w:trPr>
          <w:trHeight w:val="40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行政强制</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c>
          <w:tcPr>
            <w:tcW w:w="1260"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rPr>
          <w:trHeight w:val="480" w:hRule="atLeast"/>
        </w:trPr>
        <w:tc>
          <w:tcPr>
            <w:tcW w:w="8145" w:type="dxa"/>
            <w:gridSpan w:val="4"/>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第二十条第（八）项</w:t>
            </w:r>
          </w:p>
        </w:tc>
      </w:tr>
      <w:tr>
        <w:tblPrEx>
          <w:tblCellMar>
            <w:top w:w="15" w:type="dxa"/>
            <w:left w:w="15" w:type="dxa"/>
            <w:bottom w:w="15" w:type="dxa"/>
            <w:right w:w="15" w:type="dxa"/>
          </w:tblCellMar>
        </w:tblPrEx>
        <w:trPr>
          <w:trHeight w:val="270"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信息内容</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上一年项目数量</w:t>
            </w:r>
          </w:p>
        </w:tc>
        <w:tc>
          <w:tcPr>
            <w:tcW w:w="3150" w:type="dxa"/>
            <w:gridSpan w:val="2"/>
            <w:tcBorders>
              <w:top w:val="single" w:color="000000" w:sz="6" w:space="0"/>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本年增/减</w:t>
            </w:r>
          </w:p>
        </w:tc>
      </w:tr>
      <w:tr>
        <w:tblPrEx>
          <w:tblCellMar>
            <w:top w:w="15" w:type="dxa"/>
            <w:left w:w="15" w:type="dxa"/>
            <w:bottom w:w="15" w:type="dxa"/>
            <w:right w:w="15" w:type="dxa"/>
          </w:tblCellMar>
        </w:tblPrEx>
        <w:trPr>
          <w:trHeight w:val="55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行政事业性收费</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c>
          <w:tcPr>
            <w:tcW w:w="3150" w:type="dxa"/>
            <w:gridSpan w:val="2"/>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rPr>
          <w:trHeight w:val="480" w:hRule="atLeast"/>
        </w:trPr>
        <w:tc>
          <w:tcPr>
            <w:tcW w:w="8145" w:type="dxa"/>
            <w:gridSpan w:val="4"/>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第二十条第（九）项</w:t>
            </w:r>
          </w:p>
        </w:tc>
      </w:tr>
      <w:tr>
        <w:tblPrEx>
          <w:tblCellMar>
            <w:top w:w="15" w:type="dxa"/>
            <w:left w:w="15" w:type="dxa"/>
            <w:bottom w:w="15" w:type="dxa"/>
            <w:right w:w="15" w:type="dxa"/>
          </w:tblCellMar>
        </w:tblPrEx>
        <w:trPr>
          <w:trHeight w:val="58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信息内容</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采购项目数量</w:t>
            </w:r>
          </w:p>
        </w:tc>
        <w:tc>
          <w:tcPr>
            <w:tcW w:w="3150" w:type="dxa"/>
            <w:gridSpan w:val="2"/>
            <w:tcBorders>
              <w:top w:val="single" w:color="000000" w:sz="6" w:space="0"/>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采购总金额</w:t>
            </w:r>
          </w:p>
        </w:tc>
      </w:tr>
      <w:tr>
        <w:tblPrEx>
          <w:tblCellMar>
            <w:top w:w="15" w:type="dxa"/>
            <w:left w:w="15" w:type="dxa"/>
            <w:bottom w:w="15" w:type="dxa"/>
            <w:right w:w="15" w:type="dxa"/>
          </w:tblCellMar>
        </w:tblPrEx>
        <w:trPr>
          <w:trHeight w:val="540"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政府集中采购</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0</w:t>
            </w:r>
          </w:p>
        </w:tc>
        <w:tc>
          <w:tcPr>
            <w:tcW w:w="3150" w:type="dxa"/>
            <w:gridSpan w:val="2"/>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24"/>
                <w:szCs w:val="24"/>
              </w:rPr>
              <w:t>0</w:t>
            </w:r>
          </w:p>
        </w:tc>
      </w:tr>
    </w:tbl>
    <w:p>
      <w:pPr>
        <w:pStyle w:val="2"/>
        <w:keepNext w:val="0"/>
        <w:keepLines w:val="0"/>
        <w:widowControl/>
        <w:suppressLineNumbers w:val="0"/>
        <w:shd w:val="clear" w:fill="FFFFFF"/>
        <w:spacing w:before="75" w:beforeAutospacing="0" w:after="75" w:afterAutospacing="0"/>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333333"/>
          <w:spacing w:val="0"/>
          <w:sz w:val="22"/>
          <w:szCs w:val="22"/>
          <w:shd w:val="clear" w:fill="FFFFFF"/>
        </w:rPr>
        <w:t> </w:t>
      </w:r>
    </w:p>
    <w:p>
      <w:pPr>
        <w:pStyle w:val="2"/>
        <w:keepNext w:val="0"/>
        <w:keepLines w:val="0"/>
        <w:widowControl/>
        <w:suppressLineNumbers w:val="0"/>
        <w:shd w:val="clear" w:fill="FFFFFF"/>
        <w:spacing w:before="75" w:beforeAutospacing="0" w:after="75" w:afterAutospacing="0"/>
        <w:ind w:left="0" w:right="0" w:firstLine="645"/>
        <w:jc w:val="both"/>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333333"/>
          <w:spacing w:val="0"/>
          <w:sz w:val="31"/>
          <w:szCs w:val="31"/>
          <w:shd w:val="clear" w:fill="FFFFFF"/>
        </w:rPr>
        <w:t>三、收到和处理政府信息公开申请情况</w:t>
      </w:r>
    </w:p>
    <w:tbl>
      <w:tblPr>
        <w:tblW w:w="9075" w:type="dxa"/>
        <w:tblInd w:w="0" w:type="dxa"/>
        <w:shd w:val="clear"/>
        <w:tblLayout w:type="autofit"/>
        <w:tblCellMar>
          <w:top w:w="15" w:type="dxa"/>
          <w:left w:w="15" w:type="dxa"/>
          <w:bottom w:w="15" w:type="dxa"/>
          <w:right w:w="15" w:type="dxa"/>
        </w:tblCellMar>
      </w:tblPr>
      <w:tblGrid>
        <w:gridCol w:w="615"/>
        <w:gridCol w:w="855"/>
        <w:gridCol w:w="2080"/>
        <w:gridCol w:w="659"/>
        <w:gridCol w:w="704"/>
        <w:gridCol w:w="853"/>
        <w:gridCol w:w="928"/>
        <w:gridCol w:w="974"/>
        <w:gridCol w:w="704"/>
        <w:gridCol w:w="703"/>
      </w:tblGrid>
      <w:tr>
        <w:tblPrEx>
          <w:shd w:val="clear"/>
          <w:tblCellMar>
            <w:top w:w="15" w:type="dxa"/>
            <w:left w:w="15" w:type="dxa"/>
            <w:bottom w:w="15" w:type="dxa"/>
            <w:right w:w="15" w:type="dxa"/>
          </w:tblCellMar>
        </w:tblPrEx>
        <w:tc>
          <w:tcPr>
            <w:tcW w:w="3555" w:type="dxa"/>
            <w:gridSpan w:val="3"/>
            <w:vMerge w:val="restart"/>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（本列数据的勾稽关系为：第一项加第二项之和，等于第三项加第四项之和）</w:t>
            </w:r>
          </w:p>
        </w:tc>
        <w:tc>
          <w:tcPr>
            <w:tcW w:w="5520" w:type="dxa"/>
            <w:gridSpan w:val="7"/>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申请人情况</w:t>
            </w:r>
          </w:p>
        </w:tc>
      </w:tr>
      <w:tr>
        <w:tblPrEx>
          <w:tblCellMar>
            <w:top w:w="15" w:type="dxa"/>
            <w:left w:w="15" w:type="dxa"/>
            <w:bottom w:w="15" w:type="dxa"/>
            <w:right w:w="15" w:type="dxa"/>
          </w:tblCellMar>
        </w:tblPrEx>
        <w:tc>
          <w:tcPr>
            <w:tcW w:w="3555" w:type="dxa"/>
            <w:gridSpan w:val="3"/>
            <w:vMerge w:val="continue"/>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60" w:type="dxa"/>
            <w:vMerge w:val="restart"/>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自然人</w:t>
            </w:r>
          </w:p>
        </w:tc>
        <w:tc>
          <w:tcPr>
            <w:tcW w:w="4170" w:type="dxa"/>
            <w:gridSpan w:val="5"/>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法人或其他组织</w:t>
            </w:r>
          </w:p>
        </w:tc>
        <w:tc>
          <w:tcPr>
            <w:tcW w:w="690" w:type="dxa"/>
            <w:vMerge w:val="restart"/>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总计</w:t>
            </w:r>
          </w:p>
        </w:tc>
      </w:tr>
      <w:tr>
        <w:tblPrEx>
          <w:tblCellMar>
            <w:top w:w="15" w:type="dxa"/>
            <w:left w:w="15" w:type="dxa"/>
            <w:bottom w:w="15" w:type="dxa"/>
            <w:right w:w="15" w:type="dxa"/>
          </w:tblCellMar>
        </w:tblPrEx>
        <w:tc>
          <w:tcPr>
            <w:tcW w:w="3555" w:type="dxa"/>
            <w:gridSpan w:val="3"/>
            <w:vMerge w:val="continue"/>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60"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商业企业</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科研机构</w:t>
            </w:r>
          </w:p>
        </w:tc>
        <w:tc>
          <w:tcPr>
            <w:tcW w:w="930"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社会公益组织</w:t>
            </w:r>
          </w:p>
        </w:tc>
        <w:tc>
          <w:tcPr>
            <w:tcW w:w="975"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法律服务机构</w:t>
            </w:r>
          </w:p>
        </w:tc>
        <w:tc>
          <w:tcPr>
            <w:tcW w:w="705"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其他</w:t>
            </w:r>
          </w:p>
        </w:tc>
        <w:tc>
          <w:tcPr>
            <w:tcW w:w="690" w:type="dxa"/>
            <w:vMerge w:val="continue"/>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r>
      <w:tr>
        <w:tblPrEx>
          <w:tblCellMar>
            <w:top w:w="15" w:type="dxa"/>
            <w:left w:w="15" w:type="dxa"/>
            <w:bottom w:w="15" w:type="dxa"/>
            <w:right w:w="15" w:type="dxa"/>
          </w:tblCellMar>
        </w:tblPrEx>
        <w:tc>
          <w:tcPr>
            <w:tcW w:w="3555" w:type="dxa"/>
            <w:gridSpan w:val="3"/>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一、本年新收政府信息公开申请数量</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3</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3</w:t>
            </w:r>
          </w:p>
        </w:tc>
      </w:tr>
      <w:tr>
        <w:tblPrEx>
          <w:tblCellMar>
            <w:top w:w="15" w:type="dxa"/>
            <w:left w:w="15" w:type="dxa"/>
            <w:bottom w:w="15" w:type="dxa"/>
            <w:right w:w="15" w:type="dxa"/>
          </w:tblCellMar>
        </w:tblPrEx>
        <w:tc>
          <w:tcPr>
            <w:tcW w:w="3555" w:type="dxa"/>
            <w:gridSpan w:val="3"/>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二、上年结转政府信息公开申请数量</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Theme="minorEastAsia"/>
                <w:lang w:val="en-US" w:eastAsia="zh-CN"/>
              </w:rPr>
            </w:pP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default" w:ascii="Calibri" w:hAnsi="Calibri" w:eastAsia="Calibri" w:cs="Calibri"/>
                <w:i w:val="0"/>
                <w:iCs w:val="0"/>
                <w:caps w:val="0"/>
                <w:color w:val="000000"/>
                <w:spacing w:val="0"/>
                <w:sz w:val="19"/>
                <w:szCs w:val="19"/>
              </w:rPr>
              <w:t> </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restart"/>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三、本年度办理结果</w:t>
            </w:r>
          </w:p>
        </w:tc>
        <w:tc>
          <w:tcPr>
            <w:tcW w:w="2940" w:type="dxa"/>
            <w:gridSpan w:val="2"/>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ascii="楷体" w:hAnsi="楷体" w:eastAsia="楷体" w:cs="楷体"/>
                <w:i w:val="0"/>
                <w:iCs w:val="0"/>
                <w:caps w:val="0"/>
                <w:color w:val="000000"/>
                <w:spacing w:val="0"/>
                <w:sz w:val="19"/>
                <w:szCs w:val="19"/>
              </w:rPr>
              <w:t>（一）予以公开</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3</w:t>
            </w:r>
          </w:p>
        </w:tc>
        <w:tc>
          <w:tcPr>
            <w:tcW w:w="690"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3</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940" w:type="dxa"/>
            <w:gridSpan w:val="2"/>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（二）部分公开（区分处理的，只计这一情形，不计其他情形）</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restart"/>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（三）不予公开</w:t>
            </w: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1.属于国家秘密</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2.其他法律行政法规禁止公开</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Theme="minorEastAsia"/>
                <w:lang w:val="en-US" w:eastAsia="zh-CN"/>
              </w:rPr>
            </w:pP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3.危及“三安全一稳定”</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4.保护第三方合法权益</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tabs>
                <w:tab w:val="left" w:pos="366"/>
              </w:tabs>
              <w:spacing w:before="75" w:beforeAutospacing="0" w:after="75" w:afterAutospacing="0"/>
              <w:ind w:left="0" w:right="0"/>
              <w:jc w:val="both"/>
              <w:rPr>
                <w:rFonts w:hint="default"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eastAsia="zh-CN"/>
              </w:rPr>
              <w:tab/>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5.属于三类内部事务信息</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Theme="minorEastAsia"/>
                <w:lang w:val="en-US" w:eastAsia="zh-CN"/>
              </w:rPr>
            </w:pP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6.属于四类过程性信息</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7.属于行政执法案卷</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tabs>
                <w:tab w:val="left" w:pos="396"/>
              </w:tabs>
              <w:spacing w:before="75" w:beforeAutospacing="0" w:after="75" w:afterAutospacing="0"/>
              <w:ind w:left="0" w:right="0"/>
              <w:jc w:val="both"/>
              <w:rPr>
                <w:rFonts w:hint="default"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eastAsia="zh-CN"/>
              </w:rPr>
              <w:tab/>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8.属于行政查询事项</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restart"/>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（四）无法提供</w:t>
            </w: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1.本机关不掌握相关政府信息</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2.没有现成信息需要另行制作</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3.补正后申请内容仍不明确</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restart"/>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（五）不予处理</w:t>
            </w: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1.信访举报投诉类申请</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2.重复申请</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3.要求提供公开出版物</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4.无正当理由大量反复申请</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Calibri" w:hAnsi="Calibri" w:eastAsia="宋体" w:cs="Calibri"/>
                <w:i w:val="0"/>
                <w:iCs w:val="0"/>
                <w:caps w:val="0"/>
                <w:color w:val="000000"/>
                <w:spacing w:val="0"/>
                <w:sz w:val="19"/>
                <w:szCs w:val="19"/>
                <w:lang w:val="en-US" w:eastAsia="zh-CN"/>
              </w:rPr>
              <w:t>0</w:t>
            </w:r>
            <w:r>
              <w:rPr>
                <w:rFonts w:hint="default" w:ascii="Calibri" w:hAnsi="Calibri" w:eastAsia="Calibri" w:cs="Calibri"/>
                <w:i w:val="0"/>
                <w:iCs w:val="0"/>
                <w:caps w:val="0"/>
                <w:color w:val="000000"/>
                <w:spacing w:val="0"/>
                <w:sz w:val="19"/>
                <w:szCs w:val="19"/>
              </w:rPr>
              <w:t> </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Theme="minorEastAsia"/>
                <w:lang w:val="en-US" w:eastAsia="zh-CN"/>
              </w:rPr>
            </w:pPr>
            <w:r>
              <w:rPr>
                <w:rFonts w:hint="eastAsia"/>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default" w:eastAsiaTheme="minorEastAsia"/>
                <w:lang w:val="en-US" w:eastAsia="zh-CN"/>
              </w:rPr>
            </w:pP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5.要求行政机关确认或重新出具已获取信息</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940" w:type="dxa"/>
            <w:gridSpan w:val="2"/>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（六）其他处理</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940" w:type="dxa"/>
            <w:gridSpan w:val="2"/>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楷体" w:hAnsi="楷体" w:eastAsia="楷体" w:cs="楷体"/>
                <w:i w:val="0"/>
                <w:iCs w:val="0"/>
                <w:caps w:val="0"/>
                <w:color w:val="000000"/>
                <w:spacing w:val="0"/>
                <w:sz w:val="19"/>
                <w:szCs w:val="19"/>
              </w:rPr>
              <w:t>（七）总计</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r>
      <w:tr>
        <w:tblPrEx>
          <w:tblCellMar>
            <w:top w:w="15" w:type="dxa"/>
            <w:left w:w="15" w:type="dxa"/>
            <w:bottom w:w="15" w:type="dxa"/>
            <w:right w:w="15" w:type="dxa"/>
          </w:tblCellMar>
        </w:tblPrEx>
        <w:tc>
          <w:tcPr>
            <w:tcW w:w="3555" w:type="dxa"/>
            <w:gridSpan w:val="3"/>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四、结转下年度继续办理</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8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24"/>
                <w:szCs w:val="24"/>
              </w:rPr>
              <w:t>0</w:t>
            </w:r>
          </w:p>
        </w:tc>
      </w:tr>
    </w:tbl>
    <w:p>
      <w:pPr>
        <w:pStyle w:val="2"/>
        <w:keepNext w:val="0"/>
        <w:keepLines w:val="0"/>
        <w:widowControl/>
        <w:suppressLineNumbers w:val="0"/>
        <w:shd w:val="clear" w:fill="FFFFFF"/>
        <w:spacing w:before="75" w:beforeAutospacing="0" w:after="75" w:afterAutospacing="0"/>
        <w:ind w:right="0" w:firstLine="630" w:firstLineChars="200"/>
        <w:jc w:val="both"/>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333333"/>
          <w:spacing w:val="0"/>
          <w:sz w:val="31"/>
          <w:szCs w:val="31"/>
          <w:shd w:val="clear" w:fill="FFFFFF"/>
        </w:rPr>
        <w:t>四、政府信息公开行政复议、行政诉讼情况</w:t>
      </w:r>
      <w:r>
        <w:rPr>
          <w:rFonts w:hint="eastAsia" w:ascii="宋体" w:hAnsi="宋体" w:eastAsia="宋体" w:cs="宋体"/>
          <w:i w:val="0"/>
          <w:iCs w:val="0"/>
          <w:caps w:val="0"/>
          <w:color w:val="333333"/>
          <w:spacing w:val="0"/>
          <w:sz w:val="22"/>
          <w:szCs w:val="22"/>
          <w:shd w:val="clear" w:fill="FFFFFF"/>
        </w:rPr>
        <w:t> </w:t>
      </w:r>
    </w:p>
    <w:tbl>
      <w:tblPr>
        <w:tblW w:w="9075" w:type="dxa"/>
        <w:tblInd w:w="0" w:type="dxa"/>
        <w:shd w:val="clear"/>
        <w:tblLayout w:type="autofit"/>
        <w:tblCellMar>
          <w:top w:w="15" w:type="dxa"/>
          <w:left w:w="15" w:type="dxa"/>
          <w:bottom w:w="15" w:type="dxa"/>
          <w:right w:w="15" w:type="dxa"/>
        </w:tblCellMar>
      </w:tblPr>
      <w:tblGrid>
        <w:gridCol w:w="600"/>
        <w:gridCol w:w="600"/>
        <w:gridCol w:w="600"/>
        <w:gridCol w:w="600"/>
        <w:gridCol w:w="675"/>
        <w:gridCol w:w="555"/>
        <w:gridCol w:w="600"/>
        <w:gridCol w:w="600"/>
        <w:gridCol w:w="600"/>
        <w:gridCol w:w="615"/>
        <w:gridCol w:w="600"/>
        <w:gridCol w:w="600"/>
        <w:gridCol w:w="600"/>
        <w:gridCol w:w="600"/>
        <w:gridCol w:w="630"/>
      </w:tblGrid>
      <w:tr>
        <w:tblPrEx>
          <w:shd w:val="clear"/>
          <w:tblCellMar>
            <w:top w:w="15" w:type="dxa"/>
            <w:left w:w="15" w:type="dxa"/>
            <w:bottom w:w="15" w:type="dxa"/>
            <w:right w:w="15" w:type="dxa"/>
          </w:tblCellMar>
        </w:tblPrEx>
        <w:tc>
          <w:tcPr>
            <w:tcW w:w="3075" w:type="dxa"/>
            <w:gridSpan w:val="5"/>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行政复议</w:t>
            </w:r>
          </w:p>
        </w:tc>
        <w:tc>
          <w:tcPr>
            <w:tcW w:w="6000" w:type="dxa"/>
            <w:gridSpan w:val="10"/>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行政诉讼</w:t>
            </w:r>
          </w:p>
        </w:tc>
      </w:tr>
      <w:tr>
        <w:tblPrEx>
          <w:tblCellMar>
            <w:top w:w="15" w:type="dxa"/>
            <w:left w:w="15" w:type="dxa"/>
            <w:bottom w:w="15" w:type="dxa"/>
            <w:right w:w="15" w:type="dxa"/>
          </w:tblCellMar>
        </w:tblPrEx>
        <w:tc>
          <w:tcPr>
            <w:tcW w:w="600" w:type="dxa"/>
            <w:vMerge w:val="restart"/>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结果维持</w:t>
            </w:r>
          </w:p>
        </w:tc>
        <w:tc>
          <w:tcPr>
            <w:tcW w:w="600" w:type="dxa"/>
            <w:vMerge w:val="restart"/>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结果纠正</w:t>
            </w:r>
          </w:p>
        </w:tc>
        <w:tc>
          <w:tcPr>
            <w:tcW w:w="600" w:type="dxa"/>
            <w:vMerge w:val="restart"/>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其他结果</w:t>
            </w:r>
          </w:p>
        </w:tc>
        <w:tc>
          <w:tcPr>
            <w:tcW w:w="600" w:type="dxa"/>
            <w:vMerge w:val="restart"/>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尚未审结</w:t>
            </w:r>
          </w:p>
        </w:tc>
        <w:tc>
          <w:tcPr>
            <w:tcW w:w="660" w:type="dxa"/>
            <w:vMerge w:val="restart"/>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总计</w:t>
            </w:r>
          </w:p>
        </w:tc>
        <w:tc>
          <w:tcPr>
            <w:tcW w:w="2970" w:type="dxa"/>
            <w:gridSpan w:val="5"/>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未经复议直接起诉</w:t>
            </w:r>
          </w:p>
        </w:tc>
        <w:tc>
          <w:tcPr>
            <w:tcW w:w="3030" w:type="dxa"/>
            <w:gridSpan w:val="5"/>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复议后起诉</w:t>
            </w:r>
          </w:p>
        </w:tc>
      </w:tr>
      <w:tr>
        <w:tblPrEx>
          <w:tblCellMar>
            <w:top w:w="15" w:type="dxa"/>
            <w:left w:w="15" w:type="dxa"/>
            <w:bottom w:w="15" w:type="dxa"/>
            <w:right w:w="15" w:type="dxa"/>
          </w:tblCellMar>
        </w:tblPrEx>
        <w:tc>
          <w:tcPr>
            <w:tcW w:w="600"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00"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00" w:type="dxa"/>
            <w:vMerge w:val="continue"/>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00" w:type="dxa"/>
            <w:vMerge w:val="continue"/>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60" w:type="dxa"/>
            <w:vMerge w:val="continue"/>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结果维持</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结果纠正</w:t>
            </w:r>
          </w:p>
        </w:tc>
        <w:tc>
          <w:tcPr>
            <w:tcW w:w="600"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其他结果</w:t>
            </w:r>
          </w:p>
        </w:tc>
        <w:tc>
          <w:tcPr>
            <w:tcW w:w="600"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尚未审结</w:t>
            </w:r>
          </w:p>
        </w:tc>
        <w:tc>
          <w:tcPr>
            <w:tcW w:w="600"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总计</w:t>
            </w:r>
          </w:p>
        </w:tc>
        <w:tc>
          <w:tcPr>
            <w:tcW w:w="600"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结果维持</w:t>
            </w:r>
          </w:p>
        </w:tc>
        <w:tc>
          <w:tcPr>
            <w:tcW w:w="600"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结果纠正</w:t>
            </w:r>
          </w:p>
        </w:tc>
        <w:tc>
          <w:tcPr>
            <w:tcW w:w="600"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其他结果</w:t>
            </w:r>
          </w:p>
        </w:tc>
        <w:tc>
          <w:tcPr>
            <w:tcW w:w="600"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尚未审结</w:t>
            </w:r>
          </w:p>
        </w:tc>
        <w:tc>
          <w:tcPr>
            <w:tcW w:w="600"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rPr>
              <w:t>总计</w:t>
            </w:r>
          </w:p>
        </w:tc>
      </w:tr>
      <w:tr>
        <w:tblPrEx>
          <w:tblCellMar>
            <w:top w:w="15" w:type="dxa"/>
            <w:left w:w="15" w:type="dxa"/>
            <w:bottom w:w="15" w:type="dxa"/>
            <w:right w:w="15" w:type="dxa"/>
          </w:tblCellMar>
        </w:tblPrEx>
        <w:tc>
          <w:tcPr>
            <w:tcW w:w="600" w:type="dxa"/>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default" w:ascii="Calibri" w:hAnsi="Calibri" w:eastAsia="Calibri" w:cs="Calibri"/>
                <w:i w:val="0"/>
                <w:iCs w:val="0"/>
                <w:caps w:val="0"/>
                <w:color w:val="000000"/>
                <w:spacing w:val="0"/>
                <w:sz w:val="19"/>
                <w:szCs w:val="19"/>
              </w:rPr>
              <w:t> </w:t>
            </w:r>
            <w:r>
              <w:rPr>
                <w:rFonts w:hint="eastAsia" w:ascii="Calibri" w:hAnsi="Calibri" w:eastAsia="宋体" w:cs="Calibri"/>
                <w:i w:val="0"/>
                <w:iCs w:val="0"/>
                <w:caps w:val="0"/>
                <w:color w:val="000000"/>
                <w:spacing w:val="0"/>
                <w:sz w:val="19"/>
                <w:szCs w:val="19"/>
                <w:lang w:val="en-US" w:eastAsia="zh-CN"/>
              </w:rPr>
              <w:t>0</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lang w:val="en-US" w:eastAsia="zh-CN"/>
              </w:rPr>
              <w:t>0</w:t>
            </w:r>
            <w:r>
              <w:rPr>
                <w:rFonts w:hint="default" w:ascii="Calibri" w:hAnsi="Calibri" w:eastAsia="Calibri" w:cs="Calibri"/>
                <w:i w:val="0"/>
                <w:iCs w:val="0"/>
                <w:caps w:val="0"/>
                <w:color w:val="000000"/>
                <w:spacing w:val="0"/>
                <w:sz w:val="19"/>
                <w:szCs w:val="19"/>
              </w:rPr>
              <w:t> </w:t>
            </w:r>
          </w:p>
        </w:tc>
        <w:tc>
          <w:tcPr>
            <w:tcW w:w="5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eastAsia" w:ascii="宋体" w:hAnsi="宋体" w:eastAsia="宋体" w:cs="宋体"/>
                <w:i w:val="0"/>
                <w:iCs w:val="0"/>
                <w:caps w:val="0"/>
                <w:color w:val="000000"/>
                <w:spacing w:val="0"/>
                <w:sz w:val="19"/>
                <w:szCs w:val="19"/>
              </w:rPr>
              <w:t> </w:t>
            </w:r>
            <w:r>
              <w:rPr>
                <w:rFonts w:hint="eastAsia" w:ascii="宋体" w:hAnsi="宋体" w:eastAsia="宋体" w:cs="宋体"/>
                <w:i w:val="0"/>
                <w:iCs w:val="0"/>
                <w:caps w:val="0"/>
                <w:color w:val="000000"/>
                <w:spacing w:val="0"/>
                <w:sz w:val="19"/>
                <w:szCs w:val="19"/>
                <w:lang w:val="en-US" w:eastAsia="zh-CN"/>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eastAsia" w:ascii="宋体" w:hAnsi="宋体" w:eastAsia="宋体" w:cs="宋体"/>
                <w:i w:val="0"/>
                <w:iCs w:val="0"/>
                <w:caps w:val="0"/>
                <w:color w:val="000000"/>
                <w:spacing w:val="0"/>
                <w:sz w:val="19"/>
                <w:szCs w:val="19"/>
              </w:rPr>
              <w:t> </w:t>
            </w:r>
            <w:r>
              <w:rPr>
                <w:rFonts w:hint="eastAsia" w:ascii="宋体" w:hAnsi="宋体" w:eastAsia="宋体" w:cs="宋体"/>
                <w:i w:val="0"/>
                <w:iCs w:val="0"/>
                <w:caps w:val="0"/>
                <w:color w:val="000000"/>
                <w:spacing w:val="0"/>
                <w:sz w:val="19"/>
                <w:szCs w:val="19"/>
                <w:lang w:val="en-US" w:eastAsia="zh-CN"/>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eastAsia" w:ascii="宋体" w:hAnsi="宋体" w:eastAsia="宋体" w:cs="宋体"/>
                <w:i w:val="0"/>
                <w:iCs w:val="0"/>
                <w:caps w:val="0"/>
                <w:color w:val="000000"/>
                <w:spacing w:val="0"/>
                <w:sz w:val="19"/>
                <w:szCs w:val="19"/>
              </w:rPr>
              <w:t> </w:t>
            </w:r>
            <w:r>
              <w:rPr>
                <w:rFonts w:hint="eastAsia" w:ascii="宋体" w:hAnsi="宋体" w:eastAsia="宋体" w:cs="宋体"/>
                <w:i w:val="0"/>
                <w:iCs w:val="0"/>
                <w:caps w:val="0"/>
                <w:color w:val="000000"/>
                <w:spacing w:val="0"/>
                <w:sz w:val="19"/>
                <w:szCs w:val="19"/>
                <w:lang w:val="en-US" w:eastAsia="zh-CN"/>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eastAsia" w:ascii="宋体" w:hAnsi="宋体" w:eastAsia="宋体" w:cs="宋体"/>
                <w:i w:val="0"/>
                <w:iCs w:val="0"/>
                <w:caps w:val="0"/>
                <w:color w:val="000000"/>
                <w:spacing w:val="0"/>
                <w:sz w:val="19"/>
                <w:szCs w:val="19"/>
              </w:rPr>
              <w:t> </w:t>
            </w:r>
            <w:r>
              <w:rPr>
                <w:rFonts w:hint="eastAsia" w:ascii="宋体" w:hAnsi="宋体" w:eastAsia="宋体" w:cs="宋体"/>
                <w:i w:val="0"/>
                <w:iCs w:val="0"/>
                <w:caps w:val="0"/>
                <w:color w:val="000000"/>
                <w:spacing w:val="0"/>
                <w:sz w:val="19"/>
                <w:szCs w:val="19"/>
                <w:lang w:val="en-US" w:eastAsia="zh-CN"/>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pPr>
            <w:r>
              <w:rPr>
                <w:rFonts w:hint="eastAsia" w:ascii="宋体" w:hAnsi="宋体" w:eastAsia="宋体" w:cs="宋体"/>
                <w:i w:val="0"/>
                <w:iCs w:val="0"/>
                <w:caps w:val="0"/>
                <w:color w:val="000000"/>
                <w:spacing w:val="0"/>
                <w:sz w:val="19"/>
                <w:szCs w:val="19"/>
                <w:lang w:val="en-US" w:eastAsia="zh-CN"/>
              </w:rPr>
              <w:t>0</w:t>
            </w:r>
            <w:r>
              <w:rPr>
                <w:rFonts w:hint="eastAsia" w:ascii="宋体" w:hAnsi="宋体" w:eastAsia="宋体" w:cs="宋体"/>
                <w:i w:val="0"/>
                <w:iCs w:val="0"/>
                <w:caps w:val="0"/>
                <w:color w:val="000000"/>
                <w:spacing w:val="0"/>
                <w:sz w:val="19"/>
                <w:szCs w:val="19"/>
              </w:rPr>
              <w:t> </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eastAsia" w:ascii="宋体" w:hAnsi="宋体" w:eastAsia="宋体" w:cs="宋体"/>
                <w:i w:val="0"/>
                <w:iCs w:val="0"/>
                <w:caps w:val="0"/>
                <w:color w:val="000000"/>
                <w:spacing w:val="0"/>
                <w:sz w:val="19"/>
                <w:szCs w:val="19"/>
              </w:rPr>
              <w:t> </w:t>
            </w:r>
            <w:r>
              <w:rPr>
                <w:rFonts w:hint="eastAsia" w:ascii="宋体" w:hAnsi="宋体" w:eastAsia="宋体" w:cs="宋体"/>
                <w:i w:val="0"/>
                <w:iCs w:val="0"/>
                <w:caps w:val="0"/>
                <w:color w:val="000000"/>
                <w:spacing w:val="0"/>
                <w:sz w:val="19"/>
                <w:szCs w:val="19"/>
                <w:lang w:val="en-US" w:eastAsia="zh-CN"/>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eastAsia" w:ascii="宋体" w:hAnsi="宋体" w:eastAsia="宋体" w:cs="宋体"/>
                <w:i w:val="0"/>
                <w:iCs w:val="0"/>
                <w:caps w:val="0"/>
                <w:color w:val="000000"/>
                <w:spacing w:val="0"/>
                <w:sz w:val="19"/>
                <w:szCs w:val="19"/>
              </w:rPr>
              <w:t> </w:t>
            </w:r>
            <w:r>
              <w:rPr>
                <w:rFonts w:hint="eastAsia" w:ascii="宋体" w:hAnsi="宋体" w:eastAsia="宋体" w:cs="宋体"/>
                <w:i w:val="0"/>
                <w:iCs w:val="0"/>
                <w:caps w:val="0"/>
                <w:color w:val="000000"/>
                <w:spacing w:val="0"/>
                <w:sz w:val="19"/>
                <w:szCs w:val="19"/>
                <w:lang w:val="en-US" w:eastAsia="zh-CN"/>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eastAsia" w:ascii="宋体" w:hAnsi="宋体" w:eastAsia="宋体" w:cs="宋体"/>
                <w:i w:val="0"/>
                <w:iCs w:val="0"/>
                <w:caps w:val="0"/>
                <w:color w:val="000000"/>
                <w:spacing w:val="0"/>
                <w:sz w:val="19"/>
                <w:szCs w:val="19"/>
              </w:rPr>
              <w:t> </w:t>
            </w:r>
            <w:r>
              <w:rPr>
                <w:rFonts w:hint="eastAsia" w:ascii="宋体" w:hAnsi="宋体" w:eastAsia="宋体" w:cs="宋体"/>
                <w:i w:val="0"/>
                <w:iCs w:val="0"/>
                <w:caps w:val="0"/>
                <w:color w:val="000000"/>
                <w:spacing w:val="0"/>
                <w:sz w:val="19"/>
                <w:szCs w:val="19"/>
                <w:lang w:val="en-US" w:eastAsia="zh-CN"/>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宋体"/>
                <w:lang w:val="en-US" w:eastAsia="zh-CN"/>
              </w:rPr>
            </w:pPr>
            <w:r>
              <w:rPr>
                <w:rFonts w:hint="eastAsia" w:ascii="宋体" w:hAnsi="宋体" w:eastAsia="宋体" w:cs="宋体"/>
                <w:i w:val="0"/>
                <w:iCs w:val="0"/>
                <w:caps w:val="0"/>
                <w:color w:val="000000"/>
                <w:spacing w:val="0"/>
                <w:sz w:val="19"/>
                <w:szCs w:val="19"/>
              </w:rPr>
              <w:t> </w:t>
            </w:r>
            <w:r>
              <w:rPr>
                <w:rFonts w:hint="eastAsia" w:ascii="宋体" w:hAnsi="宋体" w:eastAsia="宋体" w:cs="宋体"/>
                <w:i w:val="0"/>
                <w:iCs w:val="0"/>
                <w:caps w:val="0"/>
                <w:color w:val="000000"/>
                <w:spacing w:val="0"/>
                <w:sz w:val="19"/>
                <w:szCs w:val="19"/>
                <w:lang w:val="en-US" w:eastAsia="zh-CN"/>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75" w:beforeAutospacing="0" w:after="75" w:afterAutospacing="0"/>
              <w:ind w:left="0" w:right="0"/>
              <w:jc w:val="both"/>
              <w:rPr>
                <w:rFonts w:hint="eastAsia" w:eastAsiaTheme="minorEastAsia"/>
                <w:lang w:eastAsia="zh-CN"/>
              </w:rPr>
            </w:pPr>
            <w:r>
              <w:rPr>
                <w:rFonts w:hint="eastAsia" w:ascii="宋体" w:hAnsi="宋体" w:eastAsia="宋体" w:cs="宋体"/>
                <w:i w:val="0"/>
                <w:iCs w:val="0"/>
                <w:caps w:val="0"/>
                <w:color w:val="000000"/>
                <w:spacing w:val="0"/>
                <w:sz w:val="24"/>
                <w:szCs w:val="24"/>
                <w:lang w:val="en-US" w:eastAsia="zh-CN"/>
              </w:rPr>
              <w:t>0</w:t>
            </w:r>
          </w:p>
        </w:tc>
      </w:tr>
    </w:tbl>
    <w:p>
      <w:pPr>
        <w:pStyle w:val="2"/>
        <w:keepNext w:val="0"/>
        <w:keepLines w:val="0"/>
        <w:widowControl/>
        <w:suppressLineNumbers w:val="0"/>
        <w:shd w:val="clear" w:fill="FFFFFF"/>
        <w:spacing w:before="75" w:beforeAutospacing="0" w:after="75" w:afterAutospacing="0"/>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333333"/>
          <w:spacing w:val="0"/>
          <w:sz w:val="22"/>
          <w:szCs w:val="22"/>
          <w:shd w:val="clear" w:fill="FFFFFF"/>
        </w:rPr>
        <w:t> </w:t>
      </w:r>
    </w:p>
    <w:p>
      <w:pPr>
        <w:pStyle w:val="2"/>
        <w:keepNext w:val="0"/>
        <w:keepLines w:val="0"/>
        <w:widowControl/>
        <w:suppressLineNumbers w:val="0"/>
        <w:shd w:val="clear" w:fill="FFFFFF"/>
        <w:spacing w:before="75" w:beforeAutospacing="0" w:after="75" w:afterAutospacing="0"/>
        <w:ind w:left="0" w:right="0" w:firstLine="645"/>
        <w:jc w:val="both"/>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333333"/>
          <w:spacing w:val="0"/>
          <w:sz w:val="31"/>
          <w:szCs w:val="31"/>
          <w:shd w:val="clear" w:fill="FFFFFF"/>
        </w:rPr>
        <w:t>五、存在的主要问题及改进情况</w:t>
      </w:r>
    </w:p>
    <w:p>
      <w:pPr>
        <w:pStyle w:val="2"/>
        <w:keepNext w:val="0"/>
        <w:keepLines w:val="0"/>
        <w:widowControl/>
        <w:suppressLineNumbers w:val="0"/>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000000"/>
          <w:spacing w:val="0"/>
          <w:sz w:val="27"/>
          <w:szCs w:val="27"/>
        </w:rPr>
      </w:pPr>
      <w:r>
        <w:rPr>
          <w:rFonts w:hint="eastAsia" w:ascii="仿宋_GB2312" w:hAnsi="仿宋_GB2312" w:eastAsia="仿宋_GB2312" w:cs="仿宋_GB2312"/>
          <w:i w:val="0"/>
          <w:iCs w:val="0"/>
          <w:caps w:val="0"/>
          <w:color w:val="333333"/>
          <w:spacing w:val="0"/>
          <w:sz w:val="31"/>
          <w:szCs w:val="31"/>
        </w:rPr>
        <w:t>目前我局信息公开工作与上级政府和社会公众的要求还有一定的差距。信息公开发布的及时性、信息公开的质量及信息公开工作人员的专业性等都需要进一步加强。为此，我局将采取以下措施：一是在公开的主动性和时效性上下功夫，加大公开力度。二是加强交流和培训，继续做好机关各股室及局直单位工作人员信息公开专题培训。下一步，我局将认真做好工作，进一步提高我局的信息公开工作水平。</w:t>
      </w:r>
    </w:p>
    <w:p>
      <w:pPr>
        <w:pStyle w:val="2"/>
        <w:keepNext w:val="0"/>
        <w:keepLines w:val="0"/>
        <w:widowControl/>
        <w:suppressLineNumbers w:val="0"/>
        <w:shd w:val="clear" w:fill="FFFFFF"/>
        <w:spacing w:before="75" w:beforeAutospacing="0" w:after="75" w:afterAutospacing="0"/>
        <w:ind w:left="0" w:right="0" w:firstLine="645"/>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333333"/>
          <w:spacing w:val="0"/>
          <w:sz w:val="31"/>
          <w:szCs w:val="31"/>
          <w:shd w:val="clear" w:fill="FFFFFF"/>
        </w:rPr>
        <w:t>六、其他需要报告的事项</w:t>
      </w:r>
    </w:p>
    <w:p>
      <w:pPr>
        <w:pStyle w:val="2"/>
        <w:keepNext w:val="0"/>
        <w:keepLines w:val="0"/>
        <w:widowControl/>
        <w:suppressLineNumbers w:val="0"/>
        <w:shd w:val="clear" w:fill="FFFFFF"/>
        <w:spacing w:before="75" w:beforeAutospacing="0" w:after="75" w:afterAutospacing="0"/>
        <w:ind w:left="0" w:right="0" w:firstLine="645"/>
        <w:rPr>
          <w:rFonts w:hint="eastAsia" w:ascii="微软雅黑" w:hAnsi="微软雅黑" w:eastAsia="微软雅黑" w:cs="微软雅黑"/>
          <w:i w:val="0"/>
          <w:iCs w:val="0"/>
          <w:caps w:val="0"/>
          <w:color w:val="000000"/>
          <w:spacing w:val="0"/>
          <w:sz w:val="27"/>
          <w:szCs w:val="27"/>
        </w:rPr>
      </w:pPr>
      <w:r>
        <w:rPr>
          <w:rFonts w:hint="eastAsia" w:ascii="仿宋_GB2312" w:hAnsi="仿宋_GB2312" w:eastAsia="仿宋_GB2312" w:cs="仿宋_GB2312"/>
          <w:i w:val="0"/>
          <w:iCs w:val="0"/>
          <w:caps w:val="0"/>
          <w:color w:val="333333"/>
          <w:spacing w:val="0"/>
          <w:sz w:val="31"/>
          <w:szCs w:val="31"/>
          <w:shd w:val="clear" w:fill="FFFFFF"/>
        </w:rPr>
        <w:t>我局无其它需报告的事项。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235A77"/>
    <w:rsid w:val="7F235A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2021-04-29T06:43:00Z</dcterms:created>
  <dc:creator>Administrator</dc:creator>
  <cp:lastModifiedBy>Administrator</cp:lastModifiedBy>
  <dcterms:modified xsi:type="dcterms:W3CDTF">2021-04-29T06:47:13Z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7B33B5DB937D4B3B84B11E11A7F59AA3</vt:lpwstr>
  </property>
</Properties>
</file>