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eastAsia="宋体" w:cs="宋体"/>
          <w:kern w:val="0"/>
          <w:sz w:val="24"/>
          <w:szCs w:val="24"/>
        </w:rPr>
      </w:pPr>
      <w:r>
        <w:rPr>
          <w:rFonts w:ascii="??" w:hAnsi="??" w:eastAsia="宋体" w:cs="宋体"/>
          <w:b/>
          <w:bCs/>
          <w:color w:val="333333"/>
          <w:kern w:val="0"/>
          <w:sz w:val="35"/>
        </w:rPr>
        <w:t>靖安县卫健委2020年政府信息公开工作年度报告</w:t>
      </w:r>
    </w:p>
    <w:p>
      <w:pPr>
        <w:widowControl/>
        <w:shd w:val="clear" w:color="auto" w:fill="FFFFFF"/>
        <w:jc w:val="center"/>
        <w:rPr>
          <w:rFonts w:ascii="宋体" w:hAnsi="宋体" w:eastAsia="宋体" w:cs="宋体"/>
          <w:kern w:val="0"/>
          <w:sz w:val="24"/>
          <w:szCs w:val="24"/>
        </w:rPr>
      </w:pPr>
    </w:p>
    <w:p>
      <w:pPr>
        <w:widowControl/>
        <w:shd w:val="clear" w:color="auto" w:fill="FFFFFF"/>
        <w:ind w:firstLine="500" w:firstLineChars="200"/>
        <w:jc w:val="left"/>
        <w:rPr>
          <w:rFonts w:hint="eastAsia" w:ascii="仿宋_GB2312" w:hAnsi="宋体" w:eastAsia="仿宋_GB2312" w:cs="宋体"/>
          <w:kern w:val="0"/>
          <w:sz w:val="24"/>
          <w:szCs w:val="24"/>
        </w:rPr>
      </w:pPr>
      <w:bookmarkStart w:id="0" w:name="_GoBack"/>
      <w:bookmarkEnd w:id="0"/>
      <w:r>
        <w:rPr>
          <w:rFonts w:hint="eastAsia" w:ascii="仿宋_GB2312" w:hAnsi="??_gb2312" w:eastAsia="仿宋_GB2312" w:cs="宋体"/>
          <w:color w:val="333333"/>
          <w:kern w:val="0"/>
          <w:sz w:val="25"/>
        </w:rPr>
        <w:t>本报告依据《中华人民共和国政府信息公开条例》（国务院令第711号，以下简称新《条例》）和《国务院办公厅政府信息与政务公开办公室关于政府信息公开工作年度报告有关事项的通知》（国办公开办函〔2019〕60号）要求。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靖安县人民政府网站下载。如对本报告有任何疑问，请与靖安县卫健委办公室联系（地址：江西省靖安县清华大道16号，电话：4662710，邮编：330699）。</w:t>
      </w:r>
    </w:p>
    <w:p>
      <w:pPr>
        <w:widowControl/>
        <w:shd w:val="clear" w:color="auto" w:fill="FFFFFF"/>
        <w:ind w:firstLine="502" w:firstLineChars="200"/>
        <w:jc w:val="left"/>
        <w:rPr>
          <w:rFonts w:hint="eastAsia" w:ascii="仿宋_GB2312" w:hAnsi="宋体" w:eastAsia="仿宋_GB2312" w:cs="宋体"/>
          <w:kern w:val="0"/>
          <w:sz w:val="24"/>
          <w:szCs w:val="24"/>
        </w:rPr>
      </w:pPr>
      <w:r>
        <w:rPr>
          <w:rFonts w:hint="eastAsia" w:ascii="仿宋_GB2312" w:hAnsi="??" w:eastAsia="仿宋_GB2312" w:cs="宋体"/>
          <w:b/>
          <w:bCs/>
          <w:color w:val="333333"/>
          <w:kern w:val="0"/>
          <w:sz w:val="25"/>
        </w:rPr>
        <w:t>一、总体情况</w:t>
      </w:r>
    </w:p>
    <w:p>
      <w:pPr>
        <w:widowControl/>
        <w:shd w:val="clear" w:color="auto" w:fill="FFFFFF"/>
        <w:ind w:firstLine="500" w:firstLineChars="200"/>
        <w:jc w:val="left"/>
        <w:rPr>
          <w:rFonts w:hint="eastAsia" w:ascii="仿宋_GB2312" w:hAnsi="宋体" w:eastAsia="仿宋_GB2312" w:cs="宋体"/>
          <w:kern w:val="0"/>
          <w:sz w:val="24"/>
          <w:szCs w:val="24"/>
        </w:rPr>
      </w:pPr>
      <w:r>
        <w:rPr>
          <w:rFonts w:hint="eastAsia" w:ascii="仿宋_GB2312" w:hAnsi="??_gb2312" w:eastAsia="仿宋_GB2312" w:cs="宋体"/>
          <w:color w:val="333333"/>
          <w:kern w:val="0"/>
          <w:sz w:val="25"/>
        </w:rPr>
        <w:t>2020年靖安县卫健委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同时明确目标任务，紧紧围绕省、市、县相关工作要求及社会群众关注关切，着力提升政府信息公开质量，推进拓宽政府信息公开渠道，不断增强政府信息公开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ascii="微软雅黑" w:hAnsi="微软雅黑" w:eastAsia="微软雅黑" w:cs="微软雅黑"/>
          <w:i w:val="0"/>
          <w:caps w:val="0"/>
          <w:color w:val="333333"/>
          <w:spacing w:val="0"/>
          <w:sz w:val="25"/>
          <w:szCs w:val="25"/>
        </w:rPr>
      </w:pPr>
      <w:r>
        <w:rPr>
          <w:rFonts w:ascii="仿宋_gb2312" w:hAnsi="仿宋_gb2312" w:eastAsia="仿宋_gb2312" w:cs="仿宋_gb2312"/>
          <w:i w:val="0"/>
          <w:caps w:val="0"/>
          <w:color w:val="333333"/>
          <w:spacing w:val="0"/>
          <w:sz w:val="25"/>
          <w:szCs w:val="25"/>
          <w:bdr w:val="none" w:color="auto" w:sz="0" w:space="0"/>
          <w:shd w:val="clear" w:fill="FFFFFF"/>
        </w:rPr>
        <w:t>（一）主动公开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仿宋_gb2312" w:cs="微软雅黑"/>
          <w:i w:val="0"/>
          <w:caps w:val="0"/>
          <w:color w:val="333333"/>
          <w:spacing w:val="0"/>
          <w:sz w:val="25"/>
          <w:szCs w:val="25"/>
          <w:lang w:eastAsia="zh-CN"/>
        </w:rPr>
      </w:pPr>
      <w:r>
        <w:rPr>
          <w:rFonts w:hint="default" w:ascii="仿宋_gb2312" w:hAnsi="仿宋_gb2312" w:eastAsia="仿宋_gb2312" w:cs="仿宋_gb2312"/>
          <w:i w:val="0"/>
          <w:caps w:val="0"/>
          <w:color w:val="333333"/>
          <w:spacing w:val="0"/>
          <w:sz w:val="25"/>
          <w:szCs w:val="25"/>
          <w:bdr w:val="none" w:color="auto" w:sz="0" w:space="0"/>
          <w:shd w:val="clear" w:fill="FFFFFF"/>
        </w:rPr>
        <w:t>按照“以公开为原则，不公开为例外”的总体要求，进一步做好主动公开、依申请公开和不予公开三类政府信息的界定，完善主动公开的政府信息目录。2020年我</w:t>
      </w:r>
      <w:r>
        <w:rPr>
          <w:rFonts w:hint="eastAsia" w:ascii="仿宋_gb2312" w:hAnsi="仿宋_gb2312" w:eastAsia="仿宋_gb2312" w:cs="仿宋_gb2312"/>
          <w:i w:val="0"/>
          <w:caps w:val="0"/>
          <w:color w:val="333333"/>
          <w:spacing w:val="0"/>
          <w:sz w:val="25"/>
          <w:szCs w:val="25"/>
          <w:bdr w:val="none" w:color="auto" w:sz="0" w:space="0"/>
          <w:shd w:val="clear" w:fill="FFFFFF"/>
          <w:lang w:val="en-US" w:eastAsia="zh-CN"/>
        </w:rPr>
        <w:t>委</w:t>
      </w:r>
      <w:r>
        <w:rPr>
          <w:rFonts w:hint="default" w:ascii="仿宋_gb2312" w:hAnsi="仿宋_gb2312" w:eastAsia="仿宋_gb2312" w:cs="仿宋_gb2312"/>
          <w:i w:val="0"/>
          <w:caps w:val="0"/>
          <w:color w:val="333333"/>
          <w:spacing w:val="0"/>
          <w:sz w:val="25"/>
          <w:szCs w:val="25"/>
          <w:bdr w:val="none" w:color="auto" w:sz="0" w:space="0"/>
          <w:shd w:val="clear" w:fill="FFFFFF"/>
        </w:rPr>
        <w:t>共主动公开政府信息</w:t>
      </w:r>
      <w:r>
        <w:rPr>
          <w:rFonts w:hint="eastAsia" w:ascii="仿宋_gb2312" w:hAnsi="仿宋_gb2312" w:eastAsia="仿宋_gb2312" w:cs="仿宋_gb2312"/>
          <w:i w:val="0"/>
          <w:caps w:val="0"/>
          <w:color w:val="333333"/>
          <w:spacing w:val="0"/>
          <w:sz w:val="25"/>
          <w:szCs w:val="25"/>
          <w:bdr w:val="none" w:color="auto" w:sz="0" w:space="0"/>
          <w:shd w:val="clear" w:fill="FFFFFF"/>
          <w:lang w:val="en-US" w:eastAsia="zh-CN"/>
        </w:rPr>
        <w:t>116</w:t>
      </w:r>
      <w:r>
        <w:rPr>
          <w:rFonts w:hint="default" w:ascii="仿宋_gb2312" w:hAnsi="仿宋_gb2312" w:eastAsia="仿宋_gb2312" w:cs="仿宋_gb2312"/>
          <w:i w:val="0"/>
          <w:caps w:val="0"/>
          <w:color w:val="333333"/>
          <w:spacing w:val="0"/>
          <w:sz w:val="25"/>
          <w:szCs w:val="25"/>
          <w:bdr w:val="none" w:color="auto" w:sz="0" w:space="0"/>
          <w:shd w:val="clear" w:fill="FFFFFF"/>
        </w:rPr>
        <w:t>条</w:t>
      </w:r>
      <w:r>
        <w:rPr>
          <w:rFonts w:hint="eastAsia" w:ascii="仿宋_gb2312" w:hAnsi="仿宋_gb2312" w:eastAsia="仿宋_gb2312" w:cs="仿宋_gb2312"/>
          <w:i w:val="0"/>
          <w:caps w:val="0"/>
          <w:color w:val="333333"/>
          <w:spacing w:val="0"/>
          <w:sz w:val="25"/>
          <w:szCs w:val="25"/>
          <w:bdr w:val="none" w:color="auto" w:sz="0" w:space="0"/>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caps w:val="0"/>
          <w:color w:val="333333"/>
          <w:spacing w:val="0"/>
          <w:sz w:val="25"/>
          <w:szCs w:val="25"/>
        </w:rPr>
      </w:pPr>
      <w:r>
        <w:rPr>
          <w:rFonts w:hint="default" w:ascii="仿宋_gb2312" w:hAnsi="仿宋_gb2312" w:eastAsia="仿宋_gb2312" w:cs="仿宋_gb2312"/>
          <w:i w:val="0"/>
          <w:caps w:val="0"/>
          <w:color w:val="333333"/>
          <w:spacing w:val="0"/>
          <w:sz w:val="25"/>
          <w:szCs w:val="25"/>
          <w:bdr w:val="none" w:color="auto" w:sz="0" w:space="0"/>
          <w:shd w:val="clear" w:fill="FFFFFF"/>
        </w:rPr>
        <w:t>（二）依申请公开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caps w:val="0"/>
          <w:color w:val="333333"/>
          <w:spacing w:val="0"/>
          <w:sz w:val="25"/>
          <w:szCs w:val="25"/>
        </w:rPr>
      </w:pPr>
      <w:r>
        <w:rPr>
          <w:rFonts w:hint="default" w:ascii="仿宋_gb2312" w:hAnsi="仿宋_gb2312" w:eastAsia="仿宋_gb2312" w:cs="仿宋_gb2312"/>
          <w:i w:val="0"/>
          <w:caps w:val="0"/>
          <w:color w:val="333333"/>
          <w:spacing w:val="0"/>
          <w:sz w:val="25"/>
          <w:szCs w:val="25"/>
          <w:bdr w:val="none" w:color="auto" w:sz="0" w:space="0"/>
          <w:shd w:val="clear" w:fill="FFFFFF"/>
        </w:rPr>
        <w:t> 2020年度未接到任何单位和个人的公开申请。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caps w:val="0"/>
          <w:color w:val="333333"/>
          <w:spacing w:val="0"/>
          <w:sz w:val="25"/>
          <w:szCs w:val="25"/>
        </w:rPr>
      </w:pPr>
      <w:r>
        <w:rPr>
          <w:rFonts w:hint="default" w:ascii="仿宋_gb2312" w:hAnsi="仿宋_gb2312" w:eastAsia="仿宋_gb2312" w:cs="仿宋_gb2312"/>
          <w:i w:val="0"/>
          <w:caps w:val="0"/>
          <w:color w:val="333333"/>
          <w:spacing w:val="0"/>
          <w:sz w:val="25"/>
          <w:szCs w:val="25"/>
          <w:bdr w:val="none" w:color="auto" w:sz="0" w:space="0"/>
          <w:shd w:val="clear" w:fill="FFFFFF"/>
        </w:rPr>
        <w:t>（三）政府信息管理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caps w:val="0"/>
          <w:color w:val="333333"/>
          <w:spacing w:val="0"/>
          <w:sz w:val="25"/>
          <w:szCs w:val="25"/>
        </w:rPr>
      </w:pPr>
      <w:r>
        <w:rPr>
          <w:rFonts w:hint="default" w:ascii="仿宋_gb2312" w:hAnsi="仿宋_gb2312" w:eastAsia="仿宋_gb2312" w:cs="仿宋_gb2312"/>
          <w:i w:val="0"/>
          <w:caps w:val="0"/>
          <w:color w:val="333333"/>
          <w:spacing w:val="0"/>
          <w:sz w:val="25"/>
          <w:szCs w:val="25"/>
          <w:bdr w:val="none" w:color="auto" w:sz="0" w:space="0"/>
          <w:shd w:val="clear" w:fill="FFFFFF"/>
        </w:rPr>
        <w:t>将政务公开工作纳入重点工作，在</w:t>
      </w:r>
      <w:r>
        <w:rPr>
          <w:rFonts w:hint="eastAsia" w:ascii="仿宋_gb2312" w:hAnsi="仿宋_gb2312" w:eastAsia="仿宋_gb2312" w:cs="仿宋_gb2312"/>
          <w:i w:val="0"/>
          <w:caps w:val="0"/>
          <w:color w:val="333333"/>
          <w:spacing w:val="0"/>
          <w:sz w:val="25"/>
          <w:szCs w:val="25"/>
          <w:bdr w:val="none" w:color="auto" w:sz="0" w:space="0"/>
          <w:shd w:val="clear" w:fill="FFFFFF"/>
          <w:lang w:val="en-US" w:eastAsia="zh-CN"/>
        </w:rPr>
        <w:t>委</w:t>
      </w:r>
      <w:r>
        <w:rPr>
          <w:rFonts w:hint="default" w:ascii="仿宋_gb2312" w:hAnsi="仿宋_gb2312" w:eastAsia="仿宋_gb2312" w:cs="仿宋_gb2312"/>
          <w:i w:val="0"/>
          <w:caps w:val="0"/>
          <w:color w:val="333333"/>
          <w:spacing w:val="0"/>
          <w:sz w:val="25"/>
          <w:szCs w:val="25"/>
          <w:bdr w:val="none" w:color="auto" w:sz="0" w:space="0"/>
          <w:shd w:val="clear" w:fill="FFFFFF"/>
        </w:rPr>
        <w:t>机关全体工作例会上按各股室职责职能明确公开内容、程序及形式等，做到专人负责，落实信息公开联络员—分管领导—公开信息平台分管领导“三级审批”制度，建立健全信息公开合法性、保密性、 关键字正确表述等内容审查机制，确保信息公开质量。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caps w:val="0"/>
          <w:color w:val="333333"/>
          <w:spacing w:val="0"/>
          <w:sz w:val="25"/>
          <w:szCs w:val="25"/>
        </w:rPr>
      </w:pPr>
      <w:r>
        <w:rPr>
          <w:rFonts w:hint="default" w:ascii="仿宋_gb2312" w:hAnsi="仿宋_gb2312" w:eastAsia="仿宋_gb2312" w:cs="仿宋_gb2312"/>
          <w:i w:val="0"/>
          <w:caps w:val="0"/>
          <w:color w:val="333333"/>
          <w:spacing w:val="0"/>
          <w:sz w:val="25"/>
          <w:szCs w:val="25"/>
          <w:bdr w:val="none" w:color="auto" w:sz="0" w:space="0"/>
          <w:shd w:val="clear" w:fill="FFFFFF"/>
        </w:rPr>
        <w:t>（四）平台建设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caps w:val="0"/>
          <w:color w:val="333333"/>
          <w:spacing w:val="0"/>
          <w:sz w:val="25"/>
          <w:szCs w:val="25"/>
        </w:rPr>
      </w:pPr>
      <w:r>
        <w:rPr>
          <w:rFonts w:hint="default" w:ascii="仿宋_gb2312" w:hAnsi="仿宋_gb2312" w:eastAsia="仿宋_gb2312" w:cs="仿宋_gb2312"/>
          <w:i w:val="0"/>
          <w:caps w:val="0"/>
          <w:color w:val="333333"/>
          <w:spacing w:val="0"/>
          <w:sz w:val="25"/>
          <w:szCs w:val="25"/>
          <w:bdr w:val="none" w:color="auto" w:sz="0" w:space="0"/>
          <w:shd w:val="clear" w:fill="FFFFFF"/>
        </w:rPr>
        <w:t>靖安县人民政府信息公开网站（http://www.jxjaxzf.gov.cn/）是我</w:t>
      </w:r>
      <w:r>
        <w:rPr>
          <w:rFonts w:hint="eastAsia" w:ascii="仿宋_gb2312" w:hAnsi="仿宋_gb2312" w:eastAsia="仿宋_gb2312" w:cs="仿宋_gb2312"/>
          <w:i w:val="0"/>
          <w:caps w:val="0"/>
          <w:color w:val="333333"/>
          <w:spacing w:val="0"/>
          <w:sz w:val="25"/>
          <w:szCs w:val="25"/>
          <w:bdr w:val="none" w:color="auto" w:sz="0" w:space="0"/>
          <w:shd w:val="clear" w:fill="FFFFFF"/>
          <w:lang w:val="en-US" w:eastAsia="zh-CN"/>
        </w:rPr>
        <w:t>委</w:t>
      </w:r>
      <w:r>
        <w:rPr>
          <w:rFonts w:hint="default" w:ascii="仿宋_gb2312" w:hAnsi="仿宋_gb2312" w:eastAsia="仿宋_gb2312" w:cs="仿宋_gb2312"/>
          <w:i w:val="0"/>
          <w:caps w:val="0"/>
          <w:color w:val="333333"/>
          <w:spacing w:val="0"/>
          <w:sz w:val="25"/>
          <w:szCs w:val="25"/>
          <w:bdr w:val="none" w:color="auto" w:sz="0" w:space="0"/>
          <w:shd w:val="clear" w:fill="FFFFFF"/>
        </w:rPr>
        <w:t>主要信息公开平台。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caps w:val="0"/>
          <w:color w:val="333333"/>
          <w:spacing w:val="0"/>
          <w:sz w:val="25"/>
          <w:szCs w:val="25"/>
        </w:rPr>
      </w:pPr>
      <w:r>
        <w:rPr>
          <w:rFonts w:hint="default" w:ascii="仿宋_gb2312" w:hAnsi="仿宋_gb2312" w:eastAsia="仿宋_gb2312" w:cs="仿宋_gb2312"/>
          <w:i w:val="0"/>
          <w:caps w:val="0"/>
          <w:color w:val="333333"/>
          <w:spacing w:val="0"/>
          <w:sz w:val="25"/>
          <w:szCs w:val="25"/>
          <w:bdr w:val="none" w:color="auto" w:sz="0" w:space="0"/>
          <w:shd w:val="clear" w:fill="FFFFFF"/>
        </w:rPr>
        <w:t>（五）监督保障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caps w:val="0"/>
          <w:color w:val="333333"/>
          <w:spacing w:val="0"/>
          <w:sz w:val="25"/>
          <w:szCs w:val="25"/>
        </w:rPr>
      </w:pPr>
      <w:r>
        <w:rPr>
          <w:rFonts w:hint="default" w:ascii="仿宋_gb2312" w:hAnsi="仿宋_gb2312" w:eastAsia="仿宋_gb2312" w:cs="仿宋_gb2312"/>
          <w:i w:val="0"/>
          <w:caps w:val="0"/>
          <w:color w:val="333333"/>
          <w:spacing w:val="0"/>
          <w:sz w:val="25"/>
          <w:szCs w:val="25"/>
          <w:bdr w:val="none" w:color="auto" w:sz="0" w:space="0"/>
          <w:shd w:val="clear" w:fill="FFFFFF"/>
        </w:rPr>
        <w:t>做好政务公开工作，是加强基层民主政治建设的重要内容，也是对</w:t>
      </w:r>
      <w:r>
        <w:rPr>
          <w:rFonts w:hint="eastAsia" w:ascii="仿宋_gb2312" w:hAnsi="仿宋_gb2312" w:eastAsia="仿宋_gb2312" w:cs="仿宋_gb2312"/>
          <w:i w:val="0"/>
          <w:caps w:val="0"/>
          <w:color w:val="333333"/>
          <w:spacing w:val="0"/>
          <w:sz w:val="25"/>
          <w:szCs w:val="25"/>
          <w:bdr w:val="none" w:color="auto" w:sz="0" w:space="0"/>
          <w:shd w:val="clear" w:fill="FFFFFF"/>
          <w:lang w:val="en-US" w:eastAsia="zh-CN"/>
        </w:rPr>
        <w:t>医疗卫生</w:t>
      </w:r>
      <w:r>
        <w:rPr>
          <w:rFonts w:hint="default" w:ascii="仿宋_gb2312" w:hAnsi="仿宋_gb2312" w:eastAsia="仿宋_gb2312" w:cs="仿宋_gb2312"/>
          <w:i w:val="0"/>
          <w:caps w:val="0"/>
          <w:color w:val="333333"/>
          <w:spacing w:val="0"/>
          <w:sz w:val="25"/>
          <w:szCs w:val="25"/>
          <w:bdr w:val="none" w:color="auto" w:sz="0" w:space="0"/>
          <w:shd w:val="clear" w:fill="FFFFFF"/>
        </w:rPr>
        <w:t>工作实行监督的主要载体。我</w:t>
      </w:r>
      <w:r>
        <w:rPr>
          <w:rFonts w:hint="eastAsia" w:ascii="仿宋_gb2312" w:hAnsi="仿宋_gb2312" w:eastAsia="仿宋_gb2312" w:cs="仿宋_gb2312"/>
          <w:i w:val="0"/>
          <w:caps w:val="0"/>
          <w:color w:val="333333"/>
          <w:spacing w:val="0"/>
          <w:sz w:val="25"/>
          <w:szCs w:val="25"/>
          <w:bdr w:val="none" w:color="auto" w:sz="0" w:space="0"/>
          <w:shd w:val="clear" w:fill="FFFFFF"/>
          <w:lang w:val="en-US" w:eastAsia="zh-CN"/>
        </w:rPr>
        <w:t>委</w:t>
      </w:r>
      <w:r>
        <w:rPr>
          <w:rFonts w:hint="default" w:ascii="仿宋_gb2312" w:hAnsi="仿宋_gb2312" w:eastAsia="仿宋_gb2312" w:cs="仿宋_gb2312"/>
          <w:i w:val="0"/>
          <w:caps w:val="0"/>
          <w:color w:val="333333"/>
          <w:spacing w:val="0"/>
          <w:sz w:val="25"/>
          <w:szCs w:val="25"/>
          <w:bdr w:val="none" w:color="auto" w:sz="0" w:space="0"/>
          <w:shd w:val="clear" w:fill="FFFFFF"/>
        </w:rPr>
        <w:t>及时向社会公众传达政府信息公开的主体和原则，范围和内容，方法和程序，监督和保障等内容，畅通社会监督渠道，充分吸纳社会公众意见建议，进一步规范和完善政务公开工作机制和制度。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both"/>
        <w:rPr>
          <w:rFonts w:ascii="微软雅黑" w:hAnsi="微软雅黑" w:eastAsia="微软雅黑" w:cs="微软雅黑"/>
          <w:i w:val="0"/>
          <w:caps w:val="0"/>
          <w:color w:val="333333"/>
          <w:spacing w:val="0"/>
          <w:sz w:val="25"/>
          <w:szCs w:val="25"/>
        </w:rPr>
      </w:pPr>
      <w:r>
        <w:rPr>
          <w:rFonts w:ascii="黑体" w:hAnsi="宋体" w:eastAsia="黑体" w:cs="黑体"/>
          <w:i w:val="0"/>
          <w:caps w:val="0"/>
          <w:color w:val="333333"/>
          <w:spacing w:val="0"/>
          <w:sz w:val="31"/>
          <w:szCs w:val="31"/>
          <w:bdr w:val="none" w:color="auto" w:sz="0" w:space="0"/>
          <w:shd w:val="clear" w:fill="FFFFFF"/>
        </w:rPr>
        <w:t>二、主动公开政府信息情况</w:t>
      </w:r>
    </w:p>
    <w:tbl>
      <w:tblPr>
        <w:tblW w:w="814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150"/>
        <w:gridCol w:w="1890"/>
        <w:gridCol w:w="1275"/>
        <w:gridCol w:w="18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5" w:hRule="atLeast"/>
          <w:tblCellSpacing w:w="0" w:type="dxa"/>
        </w:trPr>
        <w:tc>
          <w:tcPr>
            <w:tcW w:w="8145" w:type="dxa"/>
            <w:gridSpan w:val="4"/>
            <w:tcBorders>
              <w:top w:val="single" w:color="000000" w:sz="6" w:space="0"/>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8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本年新</w:t>
            </w:r>
            <w:r>
              <w:rPr>
                <w:rFonts w:hint="eastAsia" w:ascii="宋体" w:hAnsi="宋体" w:eastAsia="宋体" w:cs="宋体"/>
                <w:i w:val="0"/>
                <w:caps w:val="0"/>
                <w:color w:val="333333"/>
                <w:spacing w:val="0"/>
                <w:sz w:val="19"/>
                <w:szCs w:val="19"/>
                <w:bdr w:val="none" w:color="auto" w:sz="0" w:space="0"/>
              </w:rPr>
              <w:br w:type="textWrapping"/>
            </w:r>
            <w:r>
              <w:rPr>
                <w:rFonts w:hint="eastAsia" w:ascii="宋体" w:hAnsi="宋体" w:eastAsia="宋体" w:cs="宋体"/>
                <w:i w:val="0"/>
                <w:caps w:val="0"/>
                <w:color w:val="333333"/>
                <w:spacing w:val="0"/>
                <w:sz w:val="19"/>
                <w:szCs w:val="19"/>
                <w:bdr w:val="none" w:color="auto" w:sz="0" w:space="0"/>
              </w:rPr>
              <w:t>制作数量</w:t>
            </w:r>
          </w:p>
        </w:tc>
        <w:tc>
          <w:tcPr>
            <w:tcW w:w="127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本年新</w:t>
            </w:r>
            <w:r>
              <w:rPr>
                <w:rFonts w:hint="eastAsia" w:ascii="宋体" w:hAnsi="宋体" w:eastAsia="宋体" w:cs="宋体"/>
                <w:i w:val="0"/>
                <w:caps w:val="0"/>
                <w:color w:val="333333"/>
                <w:spacing w:val="0"/>
                <w:sz w:val="19"/>
                <w:szCs w:val="19"/>
                <w:bdr w:val="none" w:color="auto" w:sz="0" w:space="0"/>
              </w:rPr>
              <w:br w:type="textWrapping"/>
            </w:r>
            <w:r>
              <w:rPr>
                <w:rFonts w:hint="eastAsia" w:ascii="宋体" w:hAnsi="宋体" w:eastAsia="宋体" w:cs="宋体"/>
                <w:i w:val="0"/>
                <w:caps w:val="0"/>
                <w:color w:val="333333"/>
                <w:spacing w:val="0"/>
                <w:sz w:val="19"/>
                <w:szCs w:val="19"/>
                <w:bdr w:val="none" w:color="auto" w:sz="0" w:space="0"/>
              </w:rPr>
              <w:t>公开数量</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规章</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2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6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规范性文件</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2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上一年项目数量</w:t>
            </w:r>
          </w:p>
        </w:tc>
        <w:tc>
          <w:tcPr>
            <w:tcW w:w="127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本年增/减</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行政许可</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260"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其他对外管理服务事项</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260"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上一年项目数量</w:t>
            </w:r>
          </w:p>
        </w:tc>
        <w:tc>
          <w:tcPr>
            <w:tcW w:w="127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本年增/减</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3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行政处罚</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260"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行政强制</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260"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信息内容</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上一年项目数量</w:t>
            </w:r>
          </w:p>
        </w:tc>
        <w:tc>
          <w:tcPr>
            <w:tcW w:w="3150" w:type="dxa"/>
            <w:gridSpan w:val="2"/>
            <w:tcBorders>
              <w:top w:val="single" w:color="000000" w:sz="6" w:space="0"/>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行政事业性收费</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c>
          <w:tcPr>
            <w:tcW w:w="3150"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8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信息内容</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采购项目数量</w:t>
            </w:r>
          </w:p>
        </w:tc>
        <w:tc>
          <w:tcPr>
            <w:tcW w:w="3150" w:type="dxa"/>
            <w:gridSpan w:val="2"/>
            <w:tcBorders>
              <w:top w:val="single" w:color="000000" w:sz="6" w:space="0"/>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4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政府集中采购</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24"/>
                <w:szCs w:val="24"/>
                <w:bdr w:val="none" w:color="auto" w:sz="0" w:space="0"/>
              </w:rPr>
              <w:t> 0</w:t>
            </w:r>
          </w:p>
        </w:tc>
        <w:tc>
          <w:tcPr>
            <w:tcW w:w="3150"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keepNext w:val="0"/>
              <w:keepLines w:val="0"/>
              <w:widowControl/>
              <w:suppressLineNumbers w:val="0"/>
              <w:wordWrap w:val="0"/>
              <w:spacing w:before="0" w:beforeAutospacing="0" w:after="0" w:afterAutospacing="0"/>
              <w:ind w:left="0" w:right="0" w:firstLine="0"/>
              <w:jc w:val="center"/>
              <w:rPr>
                <w:rFonts w:hint="eastAsia" w:ascii="微软雅黑" w:hAnsi="微软雅黑" w:eastAsia="微软雅黑" w:cs="微软雅黑"/>
                <w:i w:val="0"/>
                <w:caps w:val="0"/>
                <w:color w:val="333333"/>
                <w:spacing w:val="0"/>
                <w:sz w:val="25"/>
                <w:szCs w:val="25"/>
              </w:rPr>
            </w:pPr>
            <w:r>
              <w:rPr>
                <w:rFonts w:hint="eastAsia" w:ascii="宋体" w:hAnsi="宋体" w:eastAsia="宋体" w:cs="宋体"/>
                <w:i w:val="0"/>
                <w:caps w:val="0"/>
                <w:color w:val="333333"/>
                <w:spacing w:val="0"/>
                <w:kern w:val="0"/>
                <w:sz w:val="24"/>
                <w:szCs w:val="24"/>
                <w:bdr w:val="none" w:color="auto" w:sz="0" w:space="0"/>
                <w:lang w:val="en-US" w:eastAsia="zh-CN" w:bidi="ar"/>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5"/>
          <w:szCs w:val="25"/>
        </w:rPr>
      </w:pPr>
      <w:r>
        <w:rPr>
          <w:rFonts w:hint="eastAsia" w:ascii="黑体" w:hAnsi="宋体" w:eastAsia="黑体" w:cs="黑体"/>
          <w:i w:val="0"/>
          <w:caps w:val="0"/>
          <w:color w:val="333333"/>
          <w:spacing w:val="0"/>
          <w:sz w:val="31"/>
          <w:szCs w:val="31"/>
          <w:bdr w:val="none" w:color="auto" w:sz="0" w:space="0"/>
          <w:shd w:val="clear" w:fill="FFFFFF"/>
        </w:rPr>
        <w:t>三、收到和处理政府信息公开申请情况</w:t>
      </w:r>
    </w:p>
    <w:tbl>
      <w:tblPr>
        <w:tblW w:w="907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20"/>
        <w:gridCol w:w="853"/>
        <w:gridCol w:w="2077"/>
        <w:gridCol w:w="814"/>
        <w:gridCol w:w="756"/>
        <w:gridCol w:w="756"/>
        <w:gridCol w:w="814"/>
        <w:gridCol w:w="973"/>
        <w:gridCol w:w="713"/>
        <w:gridCol w:w="6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3480"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（本列数据的勾稽关系为：第一项加第二项之和，等于第三项加第四项之和）</w:t>
            </w:r>
          </w:p>
        </w:tc>
        <w:tc>
          <w:tcPr>
            <w:tcW w:w="5595" w:type="dxa"/>
            <w:gridSpan w:val="7"/>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480"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2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自然人</w:t>
            </w:r>
          </w:p>
        </w:tc>
        <w:tc>
          <w:tcPr>
            <w:tcW w:w="4065" w:type="dxa"/>
            <w:gridSpan w:val="5"/>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法人或其他组织</w:t>
            </w:r>
          </w:p>
        </w:tc>
        <w:tc>
          <w:tcPr>
            <w:tcW w:w="705"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480"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2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商业企业</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科研机构</w:t>
            </w:r>
          </w:p>
        </w:tc>
        <w:tc>
          <w:tcPr>
            <w:tcW w:w="82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社会公益组织</w:t>
            </w:r>
          </w:p>
        </w:tc>
        <w:tc>
          <w:tcPr>
            <w:tcW w:w="99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法律服务机构</w:t>
            </w:r>
          </w:p>
        </w:tc>
        <w:tc>
          <w:tcPr>
            <w:tcW w:w="72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其他</w:t>
            </w:r>
          </w:p>
        </w:tc>
        <w:tc>
          <w:tcPr>
            <w:tcW w:w="70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480"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一、本年新收政府信息公开申请数量</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3480"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二、上年结转政府信息公开申请数量</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495"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三、本年度办理结果</w:t>
            </w:r>
          </w:p>
        </w:tc>
        <w:tc>
          <w:tcPr>
            <w:tcW w:w="2985"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ascii="楷体" w:hAnsi="楷体" w:eastAsia="楷体" w:cs="楷体"/>
                <w:i w:val="0"/>
                <w:caps w:val="0"/>
                <w:color w:val="333333"/>
                <w:spacing w:val="0"/>
                <w:sz w:val="19"/>
                <w:szCs w:val="19"/>
                <w:bdr w:val="none" w:color="auto" w:sz="0" w:space="0"/>
              </w:rPr>
              <w:t>（一）予以公开</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985"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（二）部分公开（区分处理的，只计这一情形，不计其他情形）</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（三）不予公开</w:t>
            </w: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1.属于国家秘密</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2.其他法律行政法规禁止公开</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 0</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 0</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3.危及“三安全一稳定”</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4.保护第三方合法权益</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5.属于三类内部事务信息</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6.属于四类过程性信息</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7.属于行政执法案卷</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8.属于行政查询事项</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（四）无法提供</w:t>
            </w: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1.本机关不掌握相关政府信息</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2.没有现成信息需要另行制作</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3.补正后申请内容仍不明确</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（五）不予处理</w:t>
            </w: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1.信访举报投诉类申请</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 0</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2.重复申请</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 0</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3.要求提供公开出版物</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4.无正当理由大量反复申请</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5.要求行政机关确认或重新出具已获取信息</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985"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（六）其他处理</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 0</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2985"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楷体" w:hAnsi="楷体" w:eastAsia="楷体" w:cs="楷体"/>
                <w:i w:val="0"/>
                <w:caps w:val="0"/>
                <w:color w:val="333333"/>
                <w:spacing w:val="0"/>
                <w:sz w:val="19"/>
                <w:szCs w:val="19"/>
                <w:bdr w:val="none" w:color="auto" w:sz="0" w:space="0"/>
              </w:rPr>
              <w:t>（七）总计</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3480"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caps w:val="0"/>
                <w:color w:val="333333"/>
                <w:spacing w:val="0"/>
                <w:sz w:val="19"/>
                <w:szCs w:val="19"/>
                <w:bdr w:val="none" w:color="auto" w:sz="0" w:space="0"/>
              </w:rPr>
              <w:t>四、结转下年度继续办理</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 0</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ind w:left="0" w:right="0" w:firstLine="0"/>
              <w:jc w:val="center"/>
              <w:rPr>
                <w:rFonts w:hint="eastAsia" w:ascii="微软雅黑" w:hAnsi="微软雅黑" w:eastAsia="微软雅黑" w:cs="微软雅黑"/>
                <w:i w:val="0"/>
                <w:caps w:val="0"/>
                <w:color w:val="333333"/>
                <w:spacing w:val="0"/>
                <w:sz w:val="25"/>
                <w:szCs w:val="25"/>
              </w:rPr>
            </w:pPr>
            <w:r>
              <w:rPr>
                <w:rFonts w:hint="eastAsia" w:ascii="宋体" w:hAnsi="宋体" w:eastAsia="宋体" w:cs="宋体"/>
                <w:i w:val="0"/>
                <w:caps w:val="0"/>
                <w:color w:val="333333"/>
                <w:spacing w:val="0"/>
                <w:kern w:val="0"/>
                <w:sz w:val="19"/>
                <w:szCs w:val="19"/>
                <w:bdr w:val="none" w:color="auto" w:sz="0" w:space="0"/>
                <w:lang w:val="en-US" w:eastAsia="zh-CN" w:bidi="ar"/>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both"/>
        <w:rPr>
          <w:rFonts w:hint="eastAsia" w:ascii="微软雅黑" w:hAnsi="微软雅黑" w:eastAsia="微软雅黑" w:cs="微软雅黑"/>
          <w:i w:val="0"/>
          <w:caps w:val="0"/>
          <w:color w:val="333333"/>
          <w:spacing w:val="0"/>
          <w:sz w:val="25"/>
          <w:szCs w:val="25"/>
        </w:rPr>
      </w:pPr>
      <w:r>
        <w:rPr>
          <w:rFonts w:hint="eastAsia" w:ascii="黑体" w:hAnsi="宋体" w:eastAsia="黑体" w:cs="黑体"/>
          <w:i w:val="0"/>
          <w:caps w:val="0"/>
          <w:color w:val="333333"/>
          <w:spacing w:val="0"/>
          <w:sz w:val="31"/>
          <w:szCs w:val="31"/>
          <w:bdr w:val="none" w:color="auto" w:sz="0" w:space="0"/>
          <w:shd w:val="clear" w:fill="FFFFFF"/>
        </w:rPr>
        <w:t>四、政府信息公开行政复议、行政诉讼情况</w:t>
      </w:r>
    </w:p>
    <w:tbl>
      <w:tblPr>
        <w:tblW w:w="9319"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25"/>
        <w:gridCol w:w="510"/>
        <w:gridCol w:w="487"/>
        <w:gridCol w:w="510"/>
        <w:gridCol w:w="1233"/>
        <w:gridCol w:w="487"/>
        <w:gridCol w:w="532"/>
        <w:gridCol w:w="487"/>
        <w:gridCol w:w="458"/>
        <w:gridCol w:w="958"/>
        <w:gridCol w:w="510"/>
        <w:gridCol w:w="510"/>
        <w:gridCol w:w="488"/>
        <w:gridCol w:w="548"/>
        <w:gridCol w:w="10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tblCellSpacing w:w="0" w:type="dxa"/>
        </w:trPr>
        <w:tc>
          <w:tcPr>
            <w:tcW w:w="3258" w:type="dxa"/>
            <w:gridSpan w:val="5"/>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行政复议</w:t>
            </w:r>
          </w:p>
        </w:tc>
        <w:tc>
          <w:tcPr>
            <w:tcW w:w="6061" w:type="dxa"/>
            <w:gridSpan w:val="10"/>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27" w:hRule="atLeast"/>
          <w:tblCellSpacing w:w="0" w:type="dxa"/>
        </w:trPr>
        <w:tc>
          <w:tcPr>
            <w:tcW w:w="518"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结果维持</w:t>
            </w:r>
          </w:p>
        </w:tc>
        <w:tc>
          <w:tcPr>
            <w:tcW w:w="503"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结果纠正</w:t>
            </w:r>
          </w:p>
        </w:tc>
        <w:tc>
          <w:tcPr>
            <w:tcW w:w="488"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其他结果</w:t>
            </w:r>
          </w:p>
        </w:tc>
        <w:tc>
          <w:tcPr>
            <w:tcW w:w="503"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尚未审结</w:t>
            </w:r>
          </w:p>
        </w:tc>
        <w:tc>
          <w:tcPr>
            <w:tcW w:w="1246"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总计</w:t>
            </w:r>
          </w:p>
        </w:tc>
        <w:tc>
          <w:tcPr>
            <w:tcW w:w="2932" w:type="dxa"/>
            <w:gridSpan w:val="5"/>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未经复议直接起诉</w:t>
            </w:r>
          </w:p>
        </w:tc>
        <w:tc>
          <w:tcPr>
            <w:tcW w:w="3129" w:type="dxa"/>
            <w:gridSpan w:val="5"/>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20" w:hRule="atLeast"/>
          <w:tblCellSpacing w:w="0" w:type="dxa"/>
        </w:trPr>
        <w:tc>
          <w:tcPr>
            <w:tcW w:w="518"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503"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488"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503"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1246"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caps w:val="0"/>
                <w:color w:val="333333"/>
                <w:spacing w:val="0"/>
                <w:sz w:val="25"/>
                <w:szCs w:val="25"/>
              </w:rPr>
            </w:pPr>
          </w:p>
        </w:tc>
        <w:tc>
          <w:tcPr>
            <w:tcW w:w="48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结果维持</w:t>
            </w:r>
          </w:p>
        </w:tc>
        <w:tc>
          <w:tcPr>
            <w:tcW w:w="53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结果纠正</w:t>
            </w:r>
          </w:p>
        </w:tc>
        <w:tc>
          <w:tcPr>
            <w:tcW w:w="488"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其他结果</w:t>
            </w:r>
          </w:p>
        </w:tc>
        <w:tc>
          <w:tcPr>
            <w:tcW w:w="459"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尚未审结</w:t>
            </w:r>
          </w:p>
        </w:tc>
        <w:tc>
          <w:tcPr>
            <w:tcW w:w="96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总计</w:t>
            </w:r>
          </w:p>
        </w:tc>
        <w:tc>
          <w:tcPr>
            <w:tcW w:w="503"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结果维持</w:t>
            </w:r>
          </w:p>
        </w:tc>
        <w:tc>
          <w:tcPr>
            <w:tcW w:w="503"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结果纠正</w:t>
            </w:r>
          </w:p>
        </w:tc>
        <w:tc>
          <w:tcPr>
            <w:tcW w:w="489"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其他结果</w:t>
            </w:r>
          </w:p>
        </w:tc>
        <w:tc>
          <w:tcPr>
            <w:tcW w:w="549"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尚未审结</w:t>
            </w:r>
          </w:p>
        </w:tc>
        <w:tc>
          <w:tcPr>
            <w:tcW w:w="108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12" w:hRule="atLeast"/>
          <w:tblCellSpacing w:w="0" w:type="dxa"/>
        </w:trPr>
        <w:tc>
          <w:tcPr>
            <w:tcW w:w="51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50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48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50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1246"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48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53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48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 0</w:t>
            </w:r>
          </w:p>
        </w:tc>
        <w:tc>
          <w:tcPr>
            <w:tcW w:w="45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9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50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 0</w:t>
            </w:r>
          </w:p>
        </w:tc>
        <w:tc>
          <w:tcPr>
            <w:tcW w:w="50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 0</w:t>
            </w:r>
          </w:p>
        </w:tc>
        <w:tc>
          <w:tcPr>
            <w:tcW w:w="48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i w:val="0"/>
                <w:caps w:val="0"/>
                <w:color w:val="333333"/>
                <w:spacing w:val="0"/>
                <w:sz w:val="19"/>
                <w:szCs w:val="19"/>
                <w:bdr w:val="none" w:color="auto" w:sz="0" w:space="0"/>
              </w:rPr>
              <w:t>0 </w:t>
            </w:r>
          </w:p>
        </w:tc>
        <w:tc>
          <w:tcPr>
            <w:tcW w:w="54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caps w:val="0"/>
                <w:color w:val="333333"/>
                <w:spacing w:val="0"/>
                <w:sz w:val="19"/>
                <w:szCs w:val="19"/>
                <w:bdr w:val="none" w:color="auto" w:sz="0" w:space="0"/>
              </w:rPr>
              <w:t>0 </w:t>
            </w:r>
          </w:p>
        </w:tc>
        <w:tc>
          <w:tcPr>
            <w:tcW w:w="108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ind w:left="0" w:right="0" w:firstLine="0"/>
              <w:jc w:val="center"/>
              <w:rPr>
                <w:rFonts w:hint="eastAsia" w:ascii="微软雅黑" w:hAnsi="微软雅黑" w:eastAsia="微软雅黑" w:cs="微软雅黑"/>
                <w:i w:val="0"/>
                <w:caps w:val="0"/>
                <w:color w:val="333333"/>
                <w:spacing w:val="0"/>
                <w:sz w:val="25"/>
                <w:szCs w:val="25"/>
              </w:rPr>
            </w:pPr>
            <w:r>
              <w:rPr>
                <w:rFonts w:hint="eastAsia" w:ascii="宋体" w:hAnsi="宋体" w:eastAsia="宋体" w:cs="宋体"/>
                <w:i w:val="0"/>
                <w:caps w:val="0"/>
                <w:color w:val="333333"/>
                <w:spacing w:val="0"/>
                <w:kern w:val="0"/>
                <w:sz w:val="19"/>
                <w:szCs w:val="19"/>
                <w:bdr w:val="none" w:color="auto" w:sz="0" w:space="0"/>
                <w:lang w:val="en-US" w:eastAsia="zh-CN" w:bidi="ar"/>
              </w:rPr>
              <w:t>0</w:t>
            </w:r>
            <w:r>
              <w:rPr>
                <w:rFonts w:hint="eastAsia" w:ascii="微软雅黑" w:hAnsi="微软雅黑" w:eastAsia="微软雅黑" w:cs="微软雅黑"/>
                <w:i w:val="0"/>
                <w:caps w:val="0"/>
                <w:color w:val="333333"/>
                <w:spacing w:val="0"/>
                <w:kern w:val="0"/>
                <w:sz w:val="25"/>
                <w:szCs w:val="25"/>
                <w:bdr w:val="none" w:color="auto" w:sz="0" w:space="0"/>
                <w:lang w:val="en-US" w:eastAsia="zh-CN" w:bidi="ar"/>
              </w:rPr>
              <w:t>​</w:t>
            </w:r>
          </w:p>
        </w:tc>
      </w:tr>
    </w:tbl>
    <w:p>
      <w:pPr>
        <w:widowControl/>
        <w:spacing w:before="60" w:after="60"/>
        <w:ind w:firstLine="516"/>
        <w:jc w:val="left"/>
        <w:rPr>
          <w:rFonts w:ascii="宋体" w:hAnsi="宋体" w:eastAsia="宋体" w:cs="宋体"/>
          <w:kern w:val="0"/>
          <w:sz w:val="24"/>
          <w:szCs w:val="24"/>
        </w:rPr>
      </w:pPr>
      <w:r>
        <w:rPr>
          <w:rFonts w:ascii="??" w:hAnsi="??" w:eastAsia="宋体" w:cs="宋体"/>
          <w:b/>
          <w:bCs/>
          <w:kern w:val="0"/>
          <w:sz w:val="25"/>
        </w:rPr>
        <w:t>五、存在的主要问题及改进情况</w:t>
      </w:r>
    </w:p>
    <w:p>
      <w:pPr>
        <w:widowControl/>
        <w:ind w:firstLine="500" w:firstLineChars="200"/>
        <w:jc w:val="left"/>
        <w:rPr>
          <w:rFonts w:hint="eastAsia" w:ascii="仿宋_GB2312" w:hAnsi="宋体" w:eastAsia="仿宋_GB2312" w:cs="宋体"/>
          <w:kern w:val="0"/>
          <w:sz w:val="24"/>
          <w:szCs w:val="24"/>
        </w:rPr>
      </w:pPr>
      <w:r>
        <w:rPr>
          <w:rFonts w:hint="eastAsia" w:ascii="仿宋_GB2312" w:hAnsi="??_gb2312" w:eastAsia="仿宋_GB2312" w:cs="宋体"/>
          <w:kern w:val="0"/>
          <w:sz w:val="25"/>
          <w:szCs w:val="25"/>
          <w:lang w:val="en-US" w:eastAsia="zh-CN"/>
        </w:rPr>
        <w:t>1</w:t>
      </w:r>
      <w:r>
        <w:rPr>
          <w:rFonts w:hint="eastAsia" w:ascii="仿宋_GB2312" w:hAnsi="??_gb2312" w:eastAsia="仿宋_GB2312" w:cs="宋体"/>
          <w:kern w:val="0"/>
          <w:sz w:val="25"/>
          <w:szCs w:val="25"/>
        </w:rPr>
        <w:t>.</w:t>
      </w:r>
      <w:r>
        <w:rPr>
          <w:rFonts w:hint="default" w:ascii="仿宋_GB2312" w:hAnsi="??_gb2312" w:eastAsia="仿宋_GB2312" w:cs="宋体"/>
          <w:kern w:val="0"/>
          <w:sz w:val="25"/>
          <w:szCs w:val="25"/>
        </w:rPr>
        <w:t>信息公开的形式不多，内容不够丰富； 2.公众参与信息公开的咨询、查阅和申请人数不多、有待进一步加强宣传。</w:t>
      </w:r>
      <w:r>
        <w:rPr>
          <w:rFonts w:hint="eastAsia" w:ascii="仿宋_GB2312" w:hAnsi="??_gb2312" w:eastAsia="仿宋_GB2312" w:cs="宋体"/>
          <w:kern w:val="0"/>
          <w:sz w:val="25"/>
          <w:szCs w:val="25"/>
        </w:rPr>
        <w:t>今后，我委将不断完善制度和措施，及时发现和解决政府信息公开中存在的问题，提高政府信息公开的质量和效果，使我委政府信息公开工作达到方便企事业单位办事、人民群众知晓、提高工作效率、强化对权力运行过程的制约和监督、提高依法行政水平的目的。</w:t>
      </w:r>
    </w:p>
    <w:p>
      <w:pPr>
        <w:widowControl/>
        <w:ind w:firstLine="502" w:firstLineChars="200"/>
        <w:jc w:val="left"/>
        <w:rPr>
          <w:rFonts w:ascii="宋体" w:hAnsi="宋体" w:eastAsia="宋体" w:cs="宋体"/>
          <w:kern w:val="0"/>
          <w:sz w:val="24"/>
          <w:szCs w:val="24"/>
        </w:rPr>
      </w:pPr>
      <w:r>
        <w:rPr>
          <w:rFonts w:ascii="??" w:hAnsi="??" w:eastAsia="宋体" w:cs="宋体"/>
          <w:b/>
          <w:bCs/>
          <w:kern w:val="0"/>
          <w:sz w:val="25"/>
        </w:rPr>
        <w:t>六、其他需要报告的事项</w:t>
      </w:r>
    </w:p>
    <w:p>
      <w:pPr>
        <w:widowControl/>
        <w:ind w:firstLine="500" w:firstLineChars="200"/>
        <w:jc w:val="left"/>
        <w:rPr>
          <w:rFonts w:hint="eastAsia" w:ascii="仿宋_GB2312" w:hAnsi="??_gb2312" w:eastAsia="仿宋_GB2312" w:cs="宋体"/>
          <w:kern w:val="0"/>
          <w:sz w:val="25"/>
          <w:szCs w:val="25"/>
        </w:rPr>
      </w:pPr>
      <w:r>
        <w:rPr>
          <w:rFonts w:hint="eastAsia" w:ascii="仿宋_GB2312" w:hAnsi="??_gb2312" w:eastAsia="仿宋_GB2312" w:cs="宋体"/>
          <w:kern w:val="0"/>
          <w:sz w:val="25"/>
          <w:szCs w:val="25"/>
        </w:rPr>
        <w:t>本年度没有需要说明的其他事项。</w:t>
      </w:r>
    </w:p>
    <w:p>
      <w:pPr>
        <w:widowControl/>
        <w:ind w:firstLine="500" w:firstLineChars="200"/>
        <w:jc w:val="left"/>
        <w:rPr>
          <w:rFonts w:hint="eastAsia" w:ascii="仿宋_GB2312" w:hAnsi="??_gb2312" w:eastAsia="仿宋_GB2312" w:cs="宋体"/>
          <w:kern w:val="0"/>
          <w:sz w:val="25"/>
          <w:szCs w:val="25"/>
        </w:rPr>
      </w:pPr>
    </w:p>
    <w:p>
      <w:pPr>
        <w:widowControl/>
        <w:ind w:firstLine="4608"/>
        <w:jc w:val="left"/>
        <w:rPr>
          <w:rFonts w:hint="eastAsia" w:ascii="仿宋_GB2312" w:hAnsi="宋体" w:eastAsia="仿宋_GB2312" w:cs="宋体"/>
          <w:kern w:val="0"/>
          <w:sz w:val="24"/>
          <w:szCs w:val="24"/>
        </w:rPr>
      </w:pP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靖安县卫健委</w:t>
      </w:r>
    </w:p>
    <w:p>
      <w:pPr>
        <w:widowControl/>
        <w:ind w:firstLine="4356"/>
        <w:jc w:val="left"/>
        <w:rPr>
          <w:rFonts w:hint="eastAsia" w:ascii="仿宋_GB2312" w:hAnsi="宋体" w:eastAsia="仿宋_GB2312" w:cs="宋体"/>
          <w:kern w:val="0"/>
          <w:sz w:val="24"/>
          <w:szCs w:val="24"/>
        </w:rPr>
      </w:pP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w:t>
      </w:r>
      <w:r>
        <w:rPr>
          <w:rFonts w:hint="eastAsia" w:ascii="??_gb2312" w:hAnsi="??_gb2312" w:eastAsia="仿宋_GB2312" w:cs="宋体"/>
          <w:kern w:val="0"/>
          <w:sz w:val="25"/>
          <w:szCs w:val="25"/>
        </w:rPr>
        <w:t> </w:t>
      </w:r>
      <w:r>
        <w:rPr>
          <w:rFonts w:hint="eastAsia" w:ascii="仿宋_GB2312" w:hAnsi="??_gb2312" w:eastAsia="仿宋_GB2312" w:cs="宋体"/>
          <w:kern w:val="0"/>
          <w:sz w:val="25"/>
          <w:szCs w:val="25"/>
        </w:rPr>
        <w:t xml:space="preserve"> 2021年1月20日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_gb2312">
    <w:altName w:val="Segoe Print"/>
    <w:panose1 w:val="00000000000000000000"/>
    <w:charset w:val="00"/>
    <w:family w:val="auto"/>
    <w:pitch w:val="default"/>
    <w:sig w:usb0="00000000" w:usb1="00000000" w:usb2="00000000" w:usb3="00000000" w:csb0="00000000"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64864"/>
    <w:rsid w:val="00803CD2"/>
    <w:rsid w:val="00864864"/>
    <w:rsid w:val="71B23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paragraph" w:customStyle="1" w:styleId="6">
    <w:name w:val="x1"/>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x11"/>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329</Words>
  <Characters>1877</Characters>
  <Lines>15</Lines>
  <Paragraphs>4</Paragraphs>
  <TotalTime>19</TotalTime>
  <ScaleCrop>false</ScaleCrop>
  <LinksUpToDate>false</LinksUpToDate>
  <CharactersWithSpaces>2202</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2021-04-29T09:36:00Z</dcterms:created>
  <dc:creator>a</dc:creator>
  <cp:lastModifiedBy>榆木梳子</cp:lastModifiedBy>
  <dcterms:modified xsi:type="dcterms:W3CDTF">2021-04-29T10:20:55Z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