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eastAsia" w:ascii="宋体" w:hAnsi="宋体" w:eastAsia="宋体" w:cs="宋体"/>
          <w:b/>
          <w:i w:val="0"/>
          <w:caps w:val="0"/>
          <w:color w:val="333333"/>
          <w:spacing w:val="0"/>
          <w:kern w:val="0"/>
          <w:sz w:val="36"/>
          <w:szCs w:val="36"/>
          <w:bdr w:val="none" w:color="auto" w:sz="0" w:space="0"/>
          <w:shd w:val="clear" w:fill="FFFFFF"/>
          <w:lang w:val="en-US" w:eastAsia="zh-CN" w:bidi="ar"/>
        </w:rPr>
      </w:pPr>
      <w:r>
        <w:rPr>
          <w:rFonts w:hint="eastAsia" w:ascii="宋体" w:hAnsi="宋体" w:eastAsia="宋体" w:cs="宋体"/>
          <w:b/>
          <w:i w:val="0"/>
          <w:caps w:val="0"/>
          <w:color w:val="333333"/>
          <w:spacing w:val="0"/>
          <w:kern w:val="0"/>
          <w:sz w:val="36"/>
          <w:szCs w:val="36"/>
          <w:bdr w:val="none" w:color="auto" w:sz="0" w:space="0"/>
          <w:shd w:val="clear" w:fill="FFFFFF"/>
          <w:lang w:val="en-US" w:eastAsia="zh-CN" w:bidi="ar"/>
        </w:rPr>
        <w:t>靖安县国资营运中心</w:t>
      </w:r>
    </w:p>
    <w:p>
      <w:pPr>
        <w:keepNext w:val="0"/>
        <w:keepLines w:val="0"/>
        <w:widowControl/>
        <w:suppressLineNumbers w:val="0"/>
        <w:jc w:val="center"/>
      </w:pPr>
      <w:bookmarkStart w:id="0" w:name="_GoBack"/>
      <w:r>
        <w:rPr>
          <w:rFonts w:hint="eastAsia" w:ascii="宋体" w:hAnsi="宋体" w:eastAsia="宋体" w:cs="宋体"/>
          <w:b/>
          <w:i w:val="0"/>
          <w:caps w:val="0"/>
          <w:color w:val="333333"/>
          <w:spacing w:val="0"/>
          <w:kern w:val="0"/>
          <w:sz w:val="36"/>
          <w:szCs w:val="36"/>
          <w:bdr w:val="none" w:color="auto" w:sz="0" w:space="0"/>
          <w:shd w:val="clear" w:fill="FFFFFF"/>
          <w:lang w:val="en-US" w:eastAsia="zh-CN" w:bidi="ar"/>
        </w:rPr>
        <w:t>2020年政府信息公开工作年度报告</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firstLine="0"/>
        <w:jc w:val="both"/>
        <w:rPr>
          <w:rFonts w:ascii="仿宋_GB2312" w:hAnsi="仿宋_GB2312" w:eastAsia="仿宋_GB2312" w:cs="仿宋_GB2312"/>
          <w:i w:val="0"/>
          <w:caps w:val="0"/>
          <w:color w:val="333333"/>
          <w:spacing w:val="0"/>
          <w:sz w:val="31"/>
          <w:szCs w:val="31"/>
          <w:bdr w:val="none" w:color="auto" w:sz="0" w:space="0"/>
          <w:shd w:val="clear" w:fill="FFFFFF"/>
        </w:rPr>
      </w:pPr>
      <w:r>
        <w:rPr>
          <w:rFonts w:ascii="仿宋_GB2312" w:hAnsi="仿宋_GB2312" w:eastAsia="仿宋_GB2312" w:cs="仿宋_GB2312"/>
          <w:i w:val="0"/>
          <w:caps w:val="0"/>
          <w:color w:val="333333"/>
          <w:spacing w:val="0"/>
          <w:sz w:val="31"/>
          <w:szCs w:val="31"/>
          <w:bdr w:val="none" w:color="auto" w:sz="0" w:space="0"/>
          <w:shd w:val="clear" w:fill="FFFFFF"/>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firstLine="630" w:firstLineChars="200"/>
        <w:jc w:val="both"/>
        <w:rPr>
          <w:rFonts w:hint="eastAsia" w:ascii="仿宋_GB2312" w:hAnsi="仿宋_GB2312" w:eastAsia="仿宋_GB2312" w:cs="仿宋_GB2312"/>
          <w:i w:val="0"/>
          <w:caps w:val="0"/>
          <w:color w:val="333333"/>
          <w:spacing w:val="0"/>
          <w:sz w:val="31"/>
          <w:szCs w:val="31"/>
          <w:shd w:val="clear" w:fill="FFFFFF"/>
        </w:rPr>
      </w:pPr>
      <w:r>
        <w:rPr>
          <w:rFonts w:ascii="仿宋_GB2312" w:hAnsi="仿宋_GB2312" w:eastAsia="仿宋_GB2312" w:cs="仿宋_GB2312"/>
          <w:i w:val="0"/>
          <w:caps w:val="0"/>
          <w:color w:val="333333"/>
          <w:spacing w:val="0"/>
          <w:sz w:val="31"/>
          <w:szCs w:val="31"/>
          <w:bdr w:val="none" w:color="auto" w:sz="0" w:space="0"/>
          <w:shd w:val="clear" w:fill="FFFFFF"/>
        </w:rPr>
        <w:t>本报告依据《中华人民共和国政府信息公开条例》（国务院令第</w:t>
      </w:r>
      <w:r>
        <w:rPr>
          <w:rFonts w:hint="eastAsia" w:ascii="仿宋_GB2312" w:hAnsi="仿宋_GB2312" w:eastAsia="仿宋_GB2312" w:cs="仿宋_GB2312"/>
          <w:i w:val="0"/>
          <w:caps w:val="0"/>
          <w:color w:val="333333"/>
          <w:spacing w:val="0"/>
          <w:sz w:val="31"/>
          <w:szCs w:val="31"/>
          <w:bdr w:val="none" w:color="auto" w:sz="0" w:space="0"/>
          <w:shd w:val="clear" w:fill="FFFFFF"/>
        </w:rPr>
        <w:t>711号，以下简称新《条例》）和《国务院办公厅政府信息与政务公开办公室关于政府信息公开工作年度报告有关事项的通知》（国办公开办函〔2019〕60号）要求，由</w:t>
      </w:r>
      <w:r>
        <w:rPr>
          <w:rFonts w:hint="eastAsia" w:ascii="仿宋_GB2312" w:hAnsi="仿宋_GB2312" w:eastAsia="仿宋_GB2312" w:cs="仿宋_GB2312"/>
          <w:i w:val="0"/>
          <w:caps w:val="0"/>
          <w:color w:val="333333"/>
          <w:spacing w:val="0"/>
          <w:sz w:val="31"/>
          <w:szCs w:val="31"/>
          <w:bdr w:val="none" w:color="auto" w:sz="0" w:space="0"/>
          <w:shd w:val="clear" w:fill="FFFFFF"/>
          <w:lang w:eastAsia="zh-CN"/>
        </w:rPr>
        <w:t>国资营运中心</w:t>
      </w:r>
      <w:r>
        <w:rPr>
          <w:rFonts w:hint="eastAsia" w:ascii="仿宋_GB2312" w:hAnsi="仿宋_GB2312" w:eastAsia="仿宋_GB2312" w:cs="仿宋_GB2312"/>
          <w:i w:val="0"/>
          <w:caps w:val="0"/>
          <w:color w:val="333333"/>
          <w:spacing w:val="0"/>
          <w:sz w:val="31"/>
          <w:szCs w:val="31"/>
          <w:bdr w:val="none" w:color="auto" w:sz="0" w:space="0"/>
          <w:shd w:val="clear" w:fill="FFFFFF"/>
        </w:rPr>
        <w:t>结合有关统计数据编制。本年度报告中所列数据的统计期限自2020年1月1日起至2020年12月31日止。全文包括总体情况、主动公开政府信息情况、收到和处理政府信息公开申请情况、政府信息公开行政复议行政诉讼情况、存在的主要问题及改进情况、其</w:t>
      </w:r>
      <w:r>
        <w:rPr>
          <w:rFonts w:hint="eastAsia" w:ascii="仿宋_GB2312" w:hAnsi="仿宋_GB2312" w:eastAsia="仿宋_GB2312" w:cs="仿宋_GB2312"/>
          <w:i w:val="0"/>
          <w:caps w:val="0"/>
          <w:color w:val="333333"/>
          <w:spacing w:val="0"/>
          <w:sz w:val="31"/>
          <w:szCs w:val="31"/>
          <w:shd w:val="clear" w:fill="FFFFFF"/>
        </w:rPr>
        <w:t>他需要报告的事项。本年度报告的电子版可以从靖安县人民政府网站（http://www.jxjaxzf.gov.cn/）下载。如对本报告有任何疑问，请与靖安县</w:t>
      </w:r>
      <w:r>
        <w:rPr>
          <w:rFonts w:hint="eastAsia" w:ascii="仿宋_GB2312" w:hAnsi="仿宋_GB2312" w:eastAsia="仿宋_GB2312" w:cs="仿宋_GB2312"/>
          <w:i w:val="0"/>
          <w:caps w:val="0"/>
          <w:color w:val="333333"/>
          <w:spacing w:val="0"/>
          <w:sz w:val="31"/>
          <w:szCs w:val="31"/>
          <w:shd w:val="clear" w:fill="FFFFFF"/>
          <w:lang w:eastAsia="zh-CN"/>
        </w:rPr>
        <w:t>国资营运中心</w:t>
      </w:r>
      <w:r>
        <w:rPr>
          <w:rFonts w:hint="eastAsia" w:ascii="仿宋_GB2312" w:hAnsi="仿宋_GB2312" w:eastAsia="仿宋_GB2312" w:cs="仿宋_GB2312"/>
          <w:i w:val="0"/>
          <w:caps w:val="0"/>
          <w:color w:val="333333"/>
          <w:spacing w:val="0"/>
          <w:sz w:val="31"/>
          <w:szCs w:val="31"/>
          <w:shd w:val="clear" w:fill="FFFFFF"/>
        </w:rPr>
        <w:t>联系（地址：靖安县</w:t>
      </w:r>
      <w:r>
        <w:rPr>
          <w:rFonts w:hint="eastAsia" w:ascii="仿宋_GB2312" w:hAnsi="仿宋_GB2312" w:eastAsia="仿宋_GB2312" w:cs="仿宋_GB2312"/>
          <w:i w:val="0"/>
          <w:caps w:val="0"/>
          <w:color w:val="333333"/>
          <w:spacing w:val="0"/>
          <w:sz w:val="31"/>
          <w:szCs w:val="31"/>
          <w:shd w:val="clear" w:fill="FFFFFF"/>
          <w:lang w:eastAsia="zh-CN"/>
        </w:rPr>
        <w:t>石马中路</w:t>
      </w:r>
      <w:r>
        <w:rPr>
          <w:rFonts w:hint="eastAsia" w:ascii="仿宋_GB2312" w:hAnsi="仿宋_GB2312" w:eastAsia="仿宋_GB2312" w:cs="仿宋_GB2312"/>
          <w:i w:val="0"/>
          <w:caps w:val="0"/>
          <w:color w:val="333333"/>
          <w:spacing w:val="0"/>
          <w:sz w:val="31"/>
          <w:szCs w:val="31"/>
          <w:shd w:val="clear" w:fill="FFFFFF"/>
          <w:lang w:val="en-US" w:eastAsia="zh-CN"/>
        </w:rPr>
        <w:t>12</w:t>
      </w:r>
      <w:r>
        <w:rPr>
          <w:rFonts w:hint="eastAsia" w:ascii="仿宋_GB2312" w:hAnsi="仿宋_GB2312" w:eastAsia="仿宋_GB2312" w:cs="仿宋_GB2312"/>
          <w:i w:val="0"/>
          <w:caps w:val="0"/>
          <w:color w:val="333333"/>
          <w:spacing w:val="0"/>
          <w:sz w:val="31"/>
          <w:szCs w:val="31"/>
          <w:shd w:val="clear" w:fill="FFFFFF"/>
        </w:rPr>
        <w:t>号，电话：0795-466</w:t>
      </w:r>
      <w:r>
        <w:rPr>
          <w:rFonts w:hint="eastAsia" w:ascii="仿宋_GB2312" w:hAnsi="仿宋_GB2312" w:eastAsia="仿宋_GB2312" w:cs="仿宋_GB2312"/>
          <w:i w:val="0"/>
          <w:caps w:val="0"/>
          <w:color w:val="333333"/>
          <w:spacing w:val="0"/>
          <w:sz w:val="31"/>
          <w:szCs w:val="31"/>
          <w:shd w:val="clear" w:fill="FFFFFF"/>
          <w:lang w:val="en-US" w:eastAsia="zh-CN"/>
        </w:rPr>
        <w:t>1712</w:t>
      </w:r>
      <w:r>
        <w:rPr>
          <w:rFonts w:hint="eastAsia" w:ascii="仿宋_GB2312" w:hAnsi="仿宋_GB2312" w:eastAsia="仿宋_GB2312" w:cs="仿宋_GB2312"/>
          <w:i w:val="0"/>
          <w:caps w:val="0"/>
          <w:color w:val="333333"/>
          <w:spacing w:val="0"/>
          <w:sz w:val="31"/>
          <w:szCs w:val="31"/>
          <w:shd w:val="clear" w:fill="FFFFFF"/>
        </w:rPr>
        <w:t>，邮编：330</w:t>
      </w:r>
      <w:r>
        <w:rPr>
          <w:rFonts w:hint="eastAsia" w:ascii="仿宋_GB2312" w:hAnsi="仿宋_GB2312" w:eastAsia="仿宋_GB2312" w:cs="仿宋_GB2312"/>
          <w:i w:val="0"/>
          <w:caps w:val="0"/>
          <w:color w:val="333333"/>
          <w:spacing w:val="0"/>
          <w:sz w:val="31"/>
          <w:szCs w:val="31"/>
          <w:shd w:val="clear" w:fill="FFFFFF"/>
          <w:lang w:val="en-US" w:eastAsia="zh-CN"/>
        </w:rPr>
        <w:t>600</w:t>
      </w:r>
      <w:r>
        <w:rPr>
          <w:rFonts w:hint="eastAsia" w:ascii="仿宋_GB2312" w:hAnsi="仿宋_GB2312" w:eastAsia="仿宋_GB2312" w:cs="仿宋_GB2312"/>
          <w:i w:val="0"/>
          <w:caps w:val="0"/>
          <w:color w:val="333333"/>
          <w:spacing w:val="0"/>
          <w:sz w:val="31"/>
          <w:szCs w:val="31"/>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firstLine="615"/>
        <w:jc w:val="both"/>
      </w:pPr>
      <w:r>
        <w:rPr>
          <w:rFonts w:ascii="黑体" w:hAnsi="宋体" w:eastAsia="黑体" w:cs="黑体"/>
          <w:i w:val="0"/>
          <w:caps w:val="0"/>
          <w:color w:val="333333"/>
          <w:spacing w:val="0"/>
          <w:sz w:val="31"/>
          <w:szCs w:val="31"/>
          <w:bdr w:val="none" w:color="auto" w:sz="0" w:space="0"/>
          <w:shd w:val="clear" w:fill="FFFFFF"/>
        </w:rPr>
        <w:t>一、总体情况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firstLine="645"/>
        <w:jc w:val="both"/>
      </w:pPr>
      <w:r>
        <w:rPr>
          <w:rFonts w:hint="eastAsia" w:ascii="仿宋_GB2312" w:hAnsi="仿宋_GB2312" w:eastAsia="仿宋_GB2312" w:cs="仿宋_GB2312"/>
          <w:i w:val="0"/>
          <w:caps w:val="0"/>
          <w:color w:val="333333"/>
          <w:spacing w:val="0"/>
          <w:sz w:val="31"/>
          <w:szCs w:val="31"/>
          <w:bdr w:val="none" w:color="auto" w:sz="0" w:space="0"/>
          <w:shd w:val="clear" w:fill="FFFFFF"/>
        </w:rPr>
        <w:t>按照《条例》和上级工作部署要求，2020年度我局信息公开工作在充实公开内容、丰富公开形式、建立公开长效机制，加大工作力度，取得较好的成效。主要做了以下几项工作：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firstLine="615"/>
        <w:jc w:val="both"/>
      </w:pPr>
      <w:r>
        <w:rPr>
          <w:rFonts w:hint="eastAsia" w:ascii="仿宋_GB2312" w:hAnsi="仿宋_GB2312" w:eastAsia="仿宋_GB2312" w:cs="仿宋_GB2312"/>
          <w:i w:val="0"/>
          <w:caps w:val="0"/>
          <w:color w:val="333333"/>
          <w:spacing w:val="0"/>
          <w:sz w:val="31"/>
          <w:szCs w:val="31"/>
          <w:bdr w:val="none" w:color="auto" w:sz="0" w:space="0"/>
          <w:shd w:val="clear" w:fill="FFFFFF"/>
        </w:rPr>
        <w:t>（一）主动公开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firstLine="615"/>
        <w:jc w:val="both"/>
      </w:pPr>
      <w:r>
        <w:rPr>
          <w:rFonts w:hint="eastAsia" w:ascii="仿宋_GB2312" w:hAnsi="仿宋_GB2312" w:eastAsia="仿宋_GB2312" w:cs="仿宋_GB2312"/>
          <w:i w:val="0"/>
          <w:caps w:val="0"/>
          <w:color w:val="333333"/>
          <w:spacing w:val="0"/>
          <w:sz w:val="31"/>
          <w:szCs w:val="31"/>
          <w:bdr w:val="none" w:color="auto" w:sz="0" w:space="0"/>
          <w:shd w:val="clear" w:fill="FFFFFF"/>
        </w:rPr>
        <w:t>按照“以公开为原则，不公开为例外”的总体要求，进一步做好主动公开、依申请公开和不予公开三类政府信息的界定，完善主动公开的政府信息目录。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firstLine="615"/>
        <w:jc w:val="both"/>
        <w:rPr>
          <w:rFonts w:hint="eastAsia" w:ascii="仿宋_GB2312" w:hAnsi="仿宋_GB2312" w:eastAsia="仿宋_GB2312" w:cs="仿宋_GB2312"/>
          <w:i w:val="0"/>
          <w:caps w:val="0"/>
          <w:color w:val="333333"/>
          <w:spacing w:val="0"/>
          <w:sz w:val="31"/>
          <w:szCs w:val="31"/>
          <w:bdr w:val="none" w:color="auto" w:sz="0" w:space="0"/>
          <w:shd w:val="clear" w:fill="FFFFFF"/>
        </w:rPr>
      </w:pPr>
      <w:r>
        <w:rPr>
          <w:rFonts w:hint="eastAsia" w:ascii="仿宋_GB2312" w:hAnsi="仿宋_GB2312" w:eastAsia="仿宋_GB2312" w:cs="仿宋_GB2312"/>
          <w:i w:val="0"/>
          <w:caps w:val="0"/>
          <w:color w:val="333333"/>
          <w:spacing w:val="0"/>
          <w:sz w:val="31"/>
          <w:szCs w:val="31"/>
          <w:bdr w:val="none" w:color="auto" w:sz="0" w:space="0"/>
          <w:shd w:val="clear" w:fill="FFFFFF"/>
        </w:rPr>
        <w:t>2020年本机关主动公开政府信息的数量：34条。其中：财政预决算2条；工作指南1条；工作动态23条；政策文件5条；建议提案办理2条；发展规划2条；年度信息工作报告1条。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firstLine="615"/>
        <w:jc w:val="both"/>
      </w:pPr>
      <w:r>
        <w:rPr>
          <w:rFonts w:hint="eastAsia" w:ascii="仿宋_GB2312" w:hAnsi="仿宋_GB2312" w:eastAsia="仿宋_GB2312" w:cs="仿宋_GB2312"/>
          <w:i w:val="0"/>
          <w:caps w:val="0"/>
          <w:color w:val="333333"/>
          <w:spacing w:val="0"/>
          <w:sz w:val="31"/>
          <w:szCs w:val="31"/>
          <w:bdr w:val="none" w:color="auto" w:sz="0" w:space="0"/>
          <w:shd w:val="clear" w:fill="FFFFFF"/>
        </w:rPr>
        <w:t>（二）依申请公开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firstLine="615"/>
        <w:jc w:val="both"/>
      </w:pPr>
      <w:r>
        <w:rPr>
          <w:rFonts w:hint="eastAsia" w:ascii="仿宋_GB2312" w:hAnsi="仿宋_GB2312" w:eastAsia="仿宋_GB2312" w:cs="仿宋_GB2312"/>
          <w:i w:val="0"/>
          <w:caps w:val="0"/>
          <w:color w:val="333333"/>
          <w:spacing w:val="0"/>
          <w:sz w:val="31"/>
          <w:szCs w:val="31"/>
          <w:bdr w:val="none" w:color="auto" w:sz="0" w:space="0"/>
          <w:shd w:val="clear" w:fill="FFFFFF"/>
        </w:rPr>
        <w:t> 2020年度未接到任何单位和个人的公开申请。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firstLine="615"/>
        <w:jc w:val="both"/>
      </w:pPr>
      <w:r>
        <w:rPr>
          <w:rFonts w:hint="eastAsia" w:ascii="仿宋_GB2312" w:hAnsi="仿宋_GB2312" w:eastAsia="仿宋_GB2312" w:cs="仿宋_GB2312"/>
          <w:i w:val="0"/>
          <w:caps w:val="0"/>
          <w:color w:val="333333"/>
          <w:spacing w:val="0"/>
          <w:sz w:val="31"/>
          <w:szCs w:val="31"/>
          <w:bdr w:val="none" w:color="auto" w:sz="0" w:space="0"/>
          <w:shd w:val="clear" w:fill="FFFFFF"/>
        </w:rPr>
        <w:t>（三）政府信息管理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firstLine="615"/>
        <w:jc w:val="both"/>
      </w:pPr>
      <w:r>
        <w:rPr>
          <w:rFonts w:hint="eastAsia" w:ascii="仿宋_GB2312" w:hAnsi="仿宋_GB2312" w:eastAsia="仿宋_GB2312" w:cs="仿宋_GB2312"/>
          <w:i w:val="0"/>
          <w:caps w:val="0"/>
          <w:color w:val="333333"/>
          <w:spacing w:val="0"/>
          <w:sz w:val="31"/>
          <w:szCs w:val="31"/>
          <w:bdr w:val="none" w:color="auto" w:sz="0" w:space="0"/>
          <w:shd w:val="clear" w:fill="FFFFFF"/>
        </w:rPr>
        <w:t>将政务公开工作纳入重点工作，在</w:t>
      </w:r>
      <w:r>
        <w:rPr>
          <w:rFonts w:hint="eastAsia" w:ascii="仿宋_GB2312" w:hAnsi="仿宋_GB2312" w:eastAsia="仿宋_GB2312" w:cs="仿宋_GB2312"/>
          <w:i w:val="0"/>
          <w:caps w:val="0"/>
          <w:color w:val="333333"/>
          <w:spacing w:val="0"/>
          <w:sz w:val="31"/>
          <w:szCs w:val="31"/>
          <w:bdr w:val="none" w:color="auto" w:sz="0" w:space="0"/>
          <w:shd w:val="clear" w:fill="FFFFFF"/>
          <w:lang w:eastAsia="zh-CN"/>
        </w:rPr>
        <w:t>中心</w:t>
      </w:r>
      <w:r>
        <w:rPr>
          <w:rFonts w:hint="eastAsia" w:ascii="仿宋_GB2312" w:hAnsi="仿宋_GB2312" w:eastAsia="仿宋_GB2312" w:cs="仿宋_GB2312"/>
          <w:i w:val="0"/>
          <w:caps w:val="0"/>
          <w:color w:val="333333"/>
          <w:spacing w:val="0"/>
          <w:sz w:val="31"/>
          <w:szCs w:val="31"/>
          <w:bdr w:val="none" w:color="auto" w:sz="0" w:space="0"/>
          <w:shd w:val="clear" w:fill="FFFFFF"/>
        </w:rPr>
        <w:t>全体工作例会上按各股室职责职能明确公开内容、程序及形式等，做到专人负责，落实信息公开联络员—分管领导—公开信息平台分管领导“三级审批”制度，建立健全信息公开合法性、保密性、关键字正确表述等内容审查机制，确保信息公开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firstLine="615"/>
        <w:jc w:val="both"/>
      </w:pPr>
      <w:r>
        <w:rPr>
          <w:rFonts w:hint="eastAsia" w:ascii="仿宋_GB2312" w:hAnsi="仿宋_GB2312" w:eastAsia="仿宋_GB2312" w:cs="仿宋_GB2312"/>
          <w:i w:val="0"/>
          <w:caps w:val="0"/>
          <w:color w:val="333333"/>
          <w:spacing w:val="0"/>
          <w:sz w:val="31"/>
          <w:szCs w:val="31"/>
          <w:bdr w:val="none" w:color="auto" w:sz="0" w:space="0"/>
          <w:shd w:val="clear" w:fill="FFFFFF"/>
        </w:rPr>
        <w:t>（四）平台建设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firstLine="615"/>
        <w:jc w:val="both"/>
      </w:pPr>
      <w:r>
        <w:rPr>
          <w:rFonts w:hint="eastAsia" w:ascii="仿宋_GB2312" w:hAnsi="仿宋_GB2312" w:eastAsia="仿宋_GB2312" w:cs="仿宋_GB2312"/>
          <w:i w:val="0"/>
          <w:caps w:val="0"/>
          <w:color w:val="333333"/>
          <w:spacing w:val="0"/>
          <w:sz w:val="31"/>
          <w:szCs w:val="31"/>
          <w:bdr w:val="none" w:color="auto" w:sz="0" w:space="0"/>
          <w:shd w:val="clear" w:fill="FFFFFF"/>
        </w:rPr>
        <w:t>靖安县人民政府信息公开网站（http://www.jxjaxzf.gov.cn/）是我</w:t>
      </w:r>
      <w:r>
        <w:rPr>
          <w:rFonts w:hint="eastAsia" w:ascii="仿宋_GB2312" w:hAnsi="仿宋_GB2312" w:eastAsia="仿宋_GB2312" w:cs="仿宋_GB2312"/>
          <w:i w:val="0"/>
          <w:caps w:val="0"/>
          <w:color w:val="333333"/>
          <w:spacing w:val="0"/>
          <w:sz w:val="31"/>
          <w:szCs w:val="31"/>
          <w:bdr w:val="none" w:color="auto" w:sz="0" w:space="0"/>
          <w:shd w:val="clear" w:fill="FFFFFF"/>
          <w:lang w:eastAsia="zh-CN"/>
        </w:rPr>
        <w:t>中心</w:t>
      </w:r>
      <w:r>
        <w:rPr>
          <w:rFonts w:hint="eastAsia" w:ascii="仿宋_GB2312" w:hAnsi="仿宋_GB2312" w:eastAsia="仿宋_GB2312" w:cs="仿宋_GB2312"/>
          <w:i w:val="0"/>
          <w:caps w:val="0"/>
          <w:color w:val="333333"/>
          <w:spacing w:val="0"/>
          <w:sz w:val="31"/>
          <w:szCs w:val="31"/>
          <w:bdr w:val="none" w:color="auto" w:sz="0" w:space="0"/>
          <w:shd w:val="clear" w:fill="FFFFFF"/>
        </w:rPr>
        <w:t>主要信息公开平台。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firstLine="615"/>
        <w:jc w:val="both"/>
      </w:pPr>
      <w:r>
        <w:rPr>
          <w:rFonts w:hint="eastAsia" w:ascii="仿宋_GB2312" w:hAnsi="仿宋_GB2312" w:eastAsia="仿宋_GB2312" w:cs="仿宋_GB2312"/>
          <w:i w:val="0"/>
          <w:caps w:val="0"/>
          <w:color w:val="333333"/>
          <w:spacing w:val="0"/>
          <w:sz w:val="31"/>
          <w:szCs w:val="31"/>
          <w:bdr w:val="none" w:color="auto" w:sz="0" w:space="0"/>
          <w:shd w:val="clear" w:fill="FFFFFF"/>
        </w:rPr>
        <w:t>（五）监督保障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firstLine="615"/>
        <w:jc w:val="both"/>
      </w:pPr>
      <w:r>
        <w:rPr>
          <w:rFonts w:hint="eastAsia" w:ascii="仿宋_GB2312" w:hAnsi="仿宋_GB2312" w:eastAsia="仿宋_GB2312" w:cs="仿宋_GB2312"/>
          <w:i w:val="0"/>
          <w:caps w:val="0"/>
          <w:color w:val="333333"/>
          <w:spacing w:val="0"/>
          <w:sz w:val="31"/>
          <w:szCs w:val="31"/>
          <w:bdr w:val="none" w:color="auto" w:sz="0" w:space="0"/>
          <w:shd w:val="clear" w:fill="FFFFFF"/>
        </w:rPr>
        <w:t>做好政务公开工作，是加强基层民主政治建设的重要内容，也是对</w:t>
      </w:r>
      <w:r>
        <w:rPr>
          <w:rFonts w:hint="eastAsia" w:ascii="仿宋_GB2312" w:hAnsi="仿宋_GB2312" w:eastAsia="仿宋_GB2312" w:cs="仿宋_GB2312"/>
          <w:i w:val="0"/>
          <w:caps w:val="0"/>
          <w:color w:val="333333"/>
          <w:spacing w:val="0"/>
          <w:sz w:val="31"/>
          <w:szCs w:val="31"/>
          <w:bdr w:val="none" w:color="auto" w:sz="0" w:space="0"/>
          <w:shd w:val="clear" w:fill="FFFFFF"/>
          <w:lang w:eastAsia="zh-CN"/>
        </w:rPr>
        <w:t>国资</w:t>
      </w:r>
      <w:r>
        <w:rPr>
          <w:rFonts w:hint="eastAsia" w:ascii="仿宋_GB2312" w:hAnsi="仿宋_GB2312" w:eastAsia="仿宋_GB2312" w:cs="仿宋_GB2312"/>
          <w:i w:val="0"/>
          <w:caps w:val="0"/>
          <w:color w:val="333333"/>
          <w:spacing w:val="0"/>
          <w:sz w:val="31"/>
          <w:szCs w:val="31"/>
          <w:bdr w:val="none" w:color="auto" w:sz="0" w:space="0"/>
          <w:shd w:val="clear" w:fill="FFFFFF"/>
        </w:rPr>
        <w:t>工作实行监督的主要载体。我</w:t>
      </w:r>
      <w:r>
        <w:rPr>
          <w:rFonts w:hint="eastAsia" w:ascii="仿宋_GB2312" w:hAnsi="仿宋_GB2312" w:eastAsia="仿宋_GB2312" w:cs="仿宋_GB2312"/>
          <w:i w:val="0"/>
          <w:caps w:val="0"/>
          <w:color w:val="333333"/>
          <w:spacing w:val="0"/>
          <w:sz w:val="31"/>
          <w:szCs w:val="31"/>
          <w:bdr w:val="none" w:color="auto" w:sz="0" w:space="0"/>
          <w:shd w:val="clear" w:fill="FFFFFF"/>
          <w:lang w:eastAsia="zh-CN"/>
        </w:rPr>
        <w:t>中心</w:t>
      </w:r>
      <w:r>
        <w:rPr>
          <w:rFonts w:hint="eastAsia" w:ascii="仿宋_GB2312" w:hAnsi="仿宋_GB2312" w:eastAsia="仿宋_GB2312" w:cs="仿宋_GB2312"/>
          <w:i w:val="0"/>
          <w:caps w:val="0"/>
          <w:color w:val="333333"/>
          <w:spacing w:val="0"/>
          <w:sz w:val="31"/>
          <w:szCs w:val="31"/>
          <w:bdr w:val="none" w:color="auto" w:sz="0" w:space="0"/>
          <w:shd w:val="clear" w:fill="FFFFFF"/>
        </w:rPr>
        <w:t>及时向社会公众传达政府信息公开的主体和原则，范围和内容，方法和程序，监督和保障等内容，畅通社会监督渠道，充分吸纳社会公众意见建议，进一步规范和完善政务公开工作机制和制度。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645"/>
        <w:jc w:val="both"/>
      </w:pPr>
      <w:r>
        <w:rPr>
          <w:rFonts w:hint="eastAsia" w:ascii="黑体" w:hAnsi="宋体" w:eastAsia="黑体" w:cs="黑体"/>
          <w:i w:val="0"/>
          <w:caps w:val="0"/>
          <w:color w:val="333333"/>
          <w:spacing w:val="0"/>
          <w:sz w:val="31"/>
          <w:szCs w:val="31"/>
          <w:bdr w:val="none" w:color="auto" w:sz="0" w:space="0"/>
          <w:shd w:val="clear" w:fill="FFFFFF"/>
        </w:rPr>
        <w:t>二、主动公开政府信息情况</w:t>
      </w:r>
    </w:p>
    <w:tbl>
      <w:tblPr>
        <w:tblW w:w="8145"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3150"/>
        <w:gridCol w:w="1890"/>
        <w:gridCol w:w="1275"/>
        <w:gridCol w:w="18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95" w:hRule="atLeast"/>
          <w:tblCellSpacing w:w="0" w:type="dxa"/>
        </w:trPr>
        <w:tc>
          <w:tcPr>
            <w:tcW w:w="8145" w:type="dxa"/>
            <w:gridSpan w:val="4"/>
            <w:tcBorders>
              <w:top w:val="single" w:color="000000" w:sz="6" w:space="0"/>
              <w:left w:val="single" w:color="000000" w:sz="6" w:space="0"/>
              <w:bottom w:val="single" w:color="000000" w:sz="6" w:space="0"/>
              <w:right w:val="single" w:color="000000" w:sz="6" w:space="0"/>
            </w:tcBorders>
            <w:shd w:val="clear" w:color="auto" w:fill="C6D9F1"/>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5" w:hRule="atLeast"/>
          <w:tblCellSpacing w:w="0" w:type="dxa"/>
        </w:trPr>
        <w:tc>
          <w:tcPr>
            <w:tcW w:w="312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信息内容</w:t>
            </w:r>
          </w:p>
        </w:tc>
        <w:tc>
          <w:tcPr>
            <w:tcW w:w="1875" w:type="dxa"/>
            <w:tcBorders>
              <w:top w:val="single" w:color="000000" w:sz="6" w:space="0"/>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本年新</w:t>
            </w:r>
            <w:r>
              <w:rPr>
                <w:rFonts w:hint="eastAsia" w:ascii="宋体" w:hAnsi="宋体" w:eastAsia="宋体" w:cs="宋体"/>
                <w:sz w:val="19"/>
                <w:szCs w:val="19"/>
                <w:bdr w:val="none" w:color="auto" w:sz="0" w:space="0"/>
              </w:rPr>
              <w:br w:type="textWrapping"/>
            </w:r>
            <w:r>
              <w:rPr>
                <w:rFonts w:hint="eastAsia" w:ascii="宋体" w:hAnsi="宋体" w:eastAsia="宋体" w:cs="宋体"/>
                <w:sz w:val="19"/>
                <w:szCs w:val="19"/>
                <w:bdr w:val="none" w:color="auto" w:sz="0" w:space="0"/>
              </w:rPr>
              <w:t>制作数量</w:t>
            </w:r>
          </w:p>
        </w:tc>
        <w:tc>
          <w:tcPr>
            <w:tcW w:w="1275"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本年新</w:t>
            </w:r>
            <w:r>
              <w:rPr>
                <w:rFonts w:hint="eastAsia" w:ascii="宋体" w:hAnsi="宋体" w:eastAsia="宋体" w:cs="宋体"/>
                <w:sz w:val="19"/>
                <w:szCs w:val="19"/>
                <w:bdr w:val="none" w:color="auto" w:sz="0" w:space="0"/>
              </w:rPr>
              <w:br w:type="textWrapping"/>
            </w:r>
            <w:r>
              <w:rPr>
                <w:rFonts w:hint="eastAsia" w:ascii="宋体" w:hAnsi="宋体" w:eastAsia="宋体" w:cs="宋体"/>
                <w:sz w:val="19"/>
                <w:szCs w:val="19"/>
                <w:bdr w:val="none" w:color="auto" w:sz="0" w:space="0"/>
              </w:rPr>
              <w:t>公开数量</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对外公开总数量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25" w:hRule="atLeast"/>
          <w:tblCellSpacing w:w="0" w:type="dxa"/>
        </w:trPr>
        <w:tc>
          <w:tcPr>
            <w:tcW w:w="312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bdr w:val="none" w:color="auto" w:sz="0" w:space="0"/>
              </w:rPr>
              <w:t>规章</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4"/>
                <w:szCs w:val="24"/>
                <w:bdr w:val="none" w:color="auto" w:sz="0" w:space="0"/>
              </w:rPr>
              <w:t> 0</w:t>
            </w:r>
          </w:p>
        </w:tc>
        <w:tc>
          <w:tcPr>
            <w:tcW w:w="127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4"/>
                <w:szCs w:val="24"/>
                <w:bdr w:val="none" w:color="auto" w:sz="0" w:space="0"/>
              </w:rPr>
              <w:t> 0</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4"/>
                <w:szCs w:val="24"/>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65" w:hRule="atLeast"/>
          <w:tblCellSpacing w:w="0" w:type="dxa"/>
        </w:trPr>
        <w:tc>
          <w:tcPr>
            <w:tcW w:w="312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bdr w:val="none" w:color="auto" w:sz="0" w:space="0"/>
              </w:rPr>
              <w:t>规范性文件</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4"/>
                <w:szCs w:val="24"/>
                <w:bdr w:val="none" w:color="auto" w:sz="0" w:space="0"/>
              </w:rPr>
              <w:t> 0</w:t>
            </w:r>
          </w:p>
        </w:tc>
        <w:tc>
          <w:tcPr>
            <w:tcW w:w="127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4"/>
                <w:szCs w:val="24"/>
                <w:bdr w:val="none" w:color="auto" w:sz="0" w:space="0"/>
              </w:rPr>
              <w:t> 0</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4"/>
                <w:szCs w:val="24"/>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blCellSpacing w:w="0" w:type="dxa"/>
        </w:trPr>
        <w:tc>
          <w:tcPr>
            <w:tcW w:w="8145" w:type="dxa"/>
            <w:gridSpan w:val="4"/>
            <w:tcBorders>
              <w:top w:val="nil"/>
              <w:left w:val="single" w:color="000000" w:sz="6" w:space="0"/>
              <w:bottom w:val="single" w:color="000000" w:sz="6" w:space="0"/>
              <w:right w:val="single" w:color="000000" w:sz="6" w:space="0"/>
            </w:tcBorders>
            <w:shd w:val="clear" w:color="auto" w:fill="C6D9F1"/>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30" w:hRule="atLeast"/>
          <w:tblCellSpacing w:w="0" w:type="dxa"/>
        </w:trPr>
        <w:tc>
          <w:tcPr>
            <w:tcW w:w="312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信息内容</w:t>
            </w:r>
          </w:p>
        </w:tc>
        <w:tc>
          <w:tcPr>
            <w:tcW w:w="1875" w:type="dxa"/>
            <w:tcBorders>
              <w:top w:val="single" w:color="000000" w:sz="6" w:space="0"/>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上一年项目数量</w:t>
            </w:r>
          </w:p>
        </w:tc>
        <w:tc>
          <w:tcPr>
            <w:tcW w:w="1275"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本年增/减</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25" w:hRule="atLeast"/>
          <w:tblCellSpacing w:w="0" w:type="dxa"/>
        </w:trPr>
        <w:tc>
          <w:tcPr>
            <w:tcW w:w="312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bdr w:val="none" w:color="auto" w:sz="0" w:space="0"/>
              </w:rPr>
              <w:t>行政许可</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4"/>
                <w:szCs w:val="24"/>
                <w:bdr w:val="none" w:color="auto" w:sz="0" w:space="0"/>
              </w:rPr>
              <w:t> 0</w:t>
            </w:r>
          </w:p>
        </w:tc>
        <w:tc>
          <w:tcPr>
            <w:tcW w:w="1260"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4"/>
                <w:szCs w:val="24"/>
                <w:bdr w:val="none" w:color="auto" w:sz="0" w:space="0"/>
              </w:rPr>
              <w:t>0 </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4"/>
                <w:szCs w:val="24"/>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55" w:hRule="atLeast"/>
          <w:tblCellSpacing w:w="0" w:type="dxa"/>
        </w:trPr>
        <w:tc>
          <w:tcPr>
            <w:tcW w:w="312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bdr w:val="none" w:color="auto" w:sz="0" w:space="0"/>
              </w:rPr>
              <w:t>其他对外管理服务事项</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4"/>
                <w:szCs w:val="24"/>
                <w:bdr w:val="none" w:color="auto" w:sz="0" w:space="0"/>
              </w:rPr>
              <w:t> 0</w:t>
            </w:r>
          </w:p>
        </w:tc>
        <w:tc>
          <w:tcPr>
            <w:tcW w:w="1260"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4"/>
                <w:szCs w:val="24"/>
                <w:bdr w:val="none" w:color="auto" w:sz="0" w:space="0"/>
              </w:rPr>
              <w:t>0 </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4"/>
                <w:szCs w:val="24"/>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05" w:hRule="atLeast"/>
          <w:tblCellSpacing w:w="0" w:type="dxa"/>
        </w:trPr>
        <w:tc>
          <w:tcPr>
            <w:tcW w:w="8145" w:type="dxa"/>
            <w:gridSpan w:val="4"/>
            <w:tcBorders>
              <w:top w:val="nil"/>
              <w:left w:val="single" w:color="000000" w:sz="6" w:space="0"/>
              <w:bottom w:val="single" w:color="000000" w:sz="6" w:space="0"/>
              <w:right w:val="single" w:color="000000" w:sz="6" w:space="0"/>
            </w:tcBorders>
            <w:shd w:val="clear" w:color="auto" w:fill="C6D9F1"/>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30" w:hRule="atLeast"/>
          <w:tblCellSpacing w:w="0" w:type="dxa"/>
        </w:trPr>
        <w:tc>
          <w:tcPr>
            <w:tcW w:w="312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信息内容</w:t>
            </w:r>
          </w:p>
        </w:tc>
        <w:tc>
          <w:tcPr>
            <w:tcW w:w="1875" w:type="dxa"/>
            <w:tcBorders>
              <w:top w:val="single" w:color="000000" w:sz="6" w:space="0"/>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上一年项目数量</w:t>
            </w:r>
          </w:p>
        </w:tc>
        <w:tc>
          <w:tcPr>
            <w:tcW w:w="1275"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本年增/减</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35" w:hRule="atLeast"/>
          <w:tblCellSpacing w:w="0" w:type="dxa"/>
        </w:trPr>
        <w:tc>
          <w:tcPr>
            <w:tcW w:w="312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bdr w:val="none" w:color="auto" w:sz="0" w:space="0"/>
              </w:rPr>
              <w:t>行政处罚</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4"/>
                <w:szCs w:val="24"/>
                <w:bdr w:val="none" w:color="auto" w:sz="0" w:space="0"/>
              </w:rPr>
              <w:t> 0</w:t>
            </w:r>
          </w:p>
        </w:tc>
        <w:tc>
          <w:tcPr>
            <w:tcW w:w="1260"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4"/>
                <w:szCs w:val="24"/>
                <w:bdr w:val="none" w:color="auto" w:sz="0" w:space="0"/>
              </w:rPr>
              <w:t> 0</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4"/>
                <w:szCs w:val="24"/>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05" w:hRule="atLeast"/>
          <w:tblCellSpacing w:w="0" w:type="dxa"/>
        </w:trPr>
        <w:tc>
          <w:tcPr>
            <w:tcW w:w="312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bdr w:val="none" w:color="auto" w:sz="0" w:space="0"/>
              </w:rPr>
              <w:t>行政强制</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4"/>
                <w:szCs w:val="24"/>
                <w:bdr w:val="none" w:color="auto" w:sz="0" w:space="0"/>
              </w:rPr>
              <w:t> 0</w:t>
            </w:r>
          </w:p>
        </w:tc>
        <w:tc>
          <w:tcPr>
            <w:tcW w:w="1260"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4"/>
                <w:szCs w:val="24"/>
                <w:bdr w:val="none" w:color="auto" w:sz="0" w:space="0"/>
              </w:rPr>
              <w:t> 0</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4"/>
                <w:szCs w:val="24"/>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blCellSpacing w:w="0" w:type="dxa"/>
        </w:trPr>
        <w:tc>
          <w:tcPr>
            <w:tcW w:w="8145" w:type="dxa"/>
            <w:gridSpan w:val="4"/>
            <w:tcBorders>
              <w:top w:val="nil"/>
              <w:left w:val="single" w:color="000000" w:sz="6" w:space="0"/>
              <w:bottom w:val="single" w:color="000000" w:sz="6" w:space="0"/>
              <w:right w:val="single" w:color="000000" w:sz="6" w:space="0"/>
            </w:tcBorders>
            <w:shd w:val="clear" w:color="auto" w:fill="C6D9F1"/>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70" w:hRule="atLeast"/>
          <w:tblCellSpacing w:w="0" w:type="dxa"/>
        </w:trPr>
        <w:tc>
          <w:tcPr>
            <w:tcW w:w="312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信息内容</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bdr w:val="none" w:color="auto" w:sz="0" w:space="0"/>
              </w:rPr>
              <w:t>上一年项目数量</w:t>
            </w:r>
          </w:p>
        </w:tc>
        <w:tc>
          <w:tcPr>
            <w:tcW w:w="3150" w:type="dxa"/>
            <w:gridSpan w:val="2"/>
            <w:tcBorders>
              <w:top w:val="single" w:color="000000" w:sz="6" w:space="0"/>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本年增/减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55" w:hRule="atLeast"/>
          <w:tblCellSpacing w:w="0" w:type="dxa"/>
        </w:trPr>
        <w:tc>
          <w:tcPr>
            <w:tcW w:w="312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bdr w:val="none" w:color="auto" w:sz="0" w:space="0"/>
              </w:rPr>
              <w:t>行政事业性收费</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4"/>
                <w:szCs w:val="24"/>
                <w:bdr w:val="none" w:color="auto" w:sz="0" w:space="0"/>
              </w:rPr>
              <w:t>0 </w:t>
            </w:r>
          </w:p>
        </w:tc>
        <w:tc>
          <w:tcPr>
            <w:tcW w:w="3150" w:type="dxa"/>
            <w:gridSpan w:val="2"/>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4"/>
                <w:szCs w:val="24"/>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blCellSpacing w:w="0" w:type="dxa"/>
        </w:trPr>
        <w:tc>
          <w:tcPr>
            <w:tcW w:w="8145" w:type="dxa"/>
            <w:gridSpan w:val="4"/>
            <w:tcBorders>
              <w:top w:val="nil"/>
              <w:left w:val="single" w:color="000000" w:sz="6" w:space="0"/>
              <w:bottom w:val="single" w:color="000000" w:sz="6" w:space="0"/>
              <w:right w:val="single" w:color="000000" w:sz="6" w:space="0"/>
            </w:tcBorders>
            <w:shd w:val="clear" w:color="auto" w:fill="C6D9F1"/>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第二十条第（九）项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85" w:hRule="atLeast"/>
          <w:tblCellSpacing w:w="0" w:type="dxa"/>
        </w:trPr>
        <w:tc>
          <w:tcPr>
            <w:tcW w:w="312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信息内容</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采购项目数量</w:t>
            </w:r>
          </w:p>
        </w:tc>
        <w:tc>
          <w:tcPr>
            <w:tcW w:w="3150" w:type="dxa"/>
            <w:gridSpan w:val="2"/>
            <w:tcBorders>
              <w:top w:val="single" w:color="000000" w:sz="6" w:space="0"/>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采购总金额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40" w:hRule="atLeast"/>
          <w:tblCellSpacing w:w="0" w:type="dxa"/>
        </w:trPr>
        <w:tc>
          <w:tcPr>
            <w:tcW w:w="312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bdr w:val="none" w:color="auto" w:sz="0" w:space="0"/>
              </w:rPr>
              <w:t>政府集中采购</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4"/>
                <w:szCs w:val="24"/>
                <w:bdr w:val="none" w:color="auto" w:sz="0" w:space="0"/>
              </w:rPr>
              <w:t> 0</w:t>
            </w:r>
          </w:p>
        </w:tc>
        <w:tc>
          <w:tcPr>
            <w:tcW w:w="3150" w:type="dxa"/>
            <w:gridSpan w:val="2"/>
            <w:tcBorders>
              <w:top w:val="nil"/>
              <w:left w:val="nil"/>
              <w:bottom w:val="single" w:color="000000" w:sz="6" w:space="0"/>
              <w:right w:val="single" w:color="000000" w:sz="6" w:space="0"/>
            </w:tcBorders>
            <w:shd w:val="clear"/>
            <w:noWrap/>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pPr>
      <w:r>
        <w:rPr>
          <w:rFonts w:hint="eastAsia" w:ascii="黑体" w:hAnsi="宋体" w:eastAsia="黑体" w:cs="黑体"/>
          <w:i w:val="0"/>
          <w:caps w:val="0"/>
          <w:color w:val="333333"/>
          <w:spacing w:val="0"/>
          <w:sz w:val="31"/>
          <w:szCs w:val="31"/>
          <w:bdr w:val="none" w:color="auto" w:sz="0" w:space="0"/>
          <w:shd w:val="clear" w:fill="FFFFFF"/>
        </w:rPr>
        <w:t>三、收到和处理政府信息公开申请情况</w:t>
      </w:r>
    </w:p>
    <w:tbl>
      <w:tblPr>
        <w:tblW w:w="9075"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620"/>
        <w:gridCol w:w="853"/>
        <w:gridCol w:w="2077"/>
        <w:gridCol w:w="814"/>
        <w:gridCol w:w="756"/>
        <w:gridCol w:w="756"/>
        <w:gridCol w:w="814"/>
        <w:gridCol w:w="973"/>
        <w:gridCol w:w="713"/>
        <w:gridCol w:w="6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3480" w:type="dxa"/>
            <w:gridSpan w:val="3"/>
            <w:vMerge w:val="restart"/>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（本列数据的勾稽关系为：第一项加第二项之和，等于第三项加第四项之和）</w:t>
            </w:r>
          </w:p>
        </w:tc>
        <w:tc>
          <w:tcPr>
            <w:tcW w:w="5595" w:type="dxa"/>
            <w:gridSpan w:val="7"/>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3480" w:type="dxa"/>
            <w:gridSpan w:val="3"/>
            <w:vMerge w:val="continue"/>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25" w:type="dxa"/>
            <w:vMerge w:val="restart"/>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自然人</w:t>
            </w:r>
          </w:p>
        </w:tc>
        <w:tc>
          <w:tcPr>
            <w:tcW w:w="4065" w:type="dxa"/>
            <w:gridSpan w:val="5"/>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法人或其他组织</w:t>
            </w:r>
          </w:p>
        </w:tc>
        <w:tc>
          <w:tcPr>
            <w:tcW w:w="705" w:type="dxa"/>
            <w:vMerge w:val="restart"/>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3480" w:type="dxa"/>
            <w:gridSpan w:val="3"/>
            <w:vMerge w:val="continue"/>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25"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商业企业</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科研机构</w:t>
            </w:r>
          </w:p>
        </w:tc>
        <w:tc>
          <w:tcPr>
            <w:tcW w:w="825"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社会公益组织</w:t>
            </w:r>
          </w:p>
        </w:tc>
        <w:tc>
          <w:tcPr>
            <w:tcW w:w="990"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法律服务机构</w:t>
            </w:r>
          </w:p>
        </w:tc>
        <w:tc>
          <w:tcPr>
            <w:tcW w:w="720"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其他</w:t>
            </w:r>
          </w:p>
        </w:tc>
        <w:tc>
          <w:tcPr>
            <w:tcW w:w="705" w:type="dxa"/>
            <w:vMerge w:val="continue"/>
            <w:tcBorders>
              <w:top w:val="single" w:color="000000" w:sz="6" w:space="0"/>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3480" w:type="dxa"/>
            <w:gridSpan w:val="3"/>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bdr w:val="none" w:color="auto" w:sz="0" w:space="0"/>
              </w:rPr>
              <w:t>一、本年新收政府信息公开申请数量</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ascii="Calibri Light" w:hAnsi="Calibri Light" w:eastAsia="Calibri Light" w:cs="Calibri Light"/>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3480" w:type="dxa"/>
            <w:gridSpan w:val="3"/>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bdr w:val="none" w:color="auto" w:sz="0" w:space="0"/>
              </w:rPr>
              <w:t>二、上年结转政府信息公开申请数量</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restart"/>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三、本年度办理结果</w:t>
            </w:r>
          </w:p>
        </w:tc>
        <w:tc>
          <w:tcPr>
            <w:tcW w:w="2985" w:type="dxa"/>
            <w:gridSpan w:val="2"/>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ascii="楷体" w:hAnsi="楷体" w:eastAsia="楷体" w:cs="楷体"/>
                <w:sz w:val="19"/>
                <w:szCs w:val="19"/>
                <w:bdr w:val="none" w:color="auto" w:sz="0" w:space="0"/>
              </w:rPr>
              <w:t>（一）予以公开</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 0</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05"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985" w:type="dxa"/>
            <w:gridSpan w:val="2"/>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（二）部分公开（区分处理的，只计这一情形，不计其他情形）</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 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restart"/>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（三）不予公开</w:t>
            </w: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1.属于国家秘密</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05"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2.其他法律行政法规禁止公开</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 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 0</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3.危及“三安全一稳定”</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4.保护第三方合法权益</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 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5.属于三类内部事务信息</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6.属于四类过程性信息</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 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7.属于行政执法案卷</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8.属于行政查询事项</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 0</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restart"/>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（四）无法提供</w:t>
            </w: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1.本机关不掌握相关政府信息</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2.没有现成信息需要另行制作</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3.补正后申请内容仍不明确</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 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 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restart"/>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（五）不予处理</w:t>
            </w: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1.信访举报投诉类申请</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 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2.重复申请</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 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 0</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3.要求提供公开出版物</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 0</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 0</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4.无正当理由大量反复申请</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 0</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5.要求行政机关确认或重新出具已获取信息</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985" w:type="dxa"/>
            <w:gridSpan w:val="2"/>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（六）其他处理</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 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985" w:type="dxa"/>
            <w:gridSpan w:val="2"/>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（七）总计</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3480" w:type="dxa"/>
            <w:gridSpan w:val="3"/>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bdr w:val="none" w:color="auto" w:sz="0" w:space="0"/>
              </w:rPr>
              <w:t>四、结转下年度继续办理</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 0</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pPr>
            <w:r>
              <w:rPr>
                <w:rFonts w:hint="eastAsia" w:ascii="宋体" w:hAnsi="宋体" w:eastAsia="宋体" w:cs="宋体"/>
                <w:kern w:val="0"/>
                <w:sz w:val="19"/>
                <w:szCs w:val="19"/>
                <w:bdr w:val="none" w:color="auto" w:sz="0" w:space="0"/>
                <w:lang w:val="en-US" w:eastAsia="zh-CN" w:bidi="ar"/>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645"/>
        <w:jc w:val="both"/>
      </w:pPr>
      <w:r>
        <w:rPr>
          <w:rFonts w:hint="eastAsia" w:ascii="黑体" w:hAnsi="宋体" w:eastAsia="黑体" w:cs="黑体"/>
          <w:i w:val="0"/>
          <w:caps w:val="0"/>
          <w:color w:val="333333"/>
          <w:spacing w:val="0"/>
          <w:sz w:val="31"/>
          <w:szCs w:val="31"/>
          <w:bdr w:val="none" w:color="auto" w:sz="0" w:space="0"/>
          <w:shd w:val="clear" w:fill="FFFFFF"/>
        </w:rPr>
        <w:t>四、政府信息公开行政复议、行政诉讼情况</w:t>
      </w:r>
    </w:p>
    <w:tbl>
      <w:tblPr>
        <w:tblW w:w="10125"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563"/>
        <w:gridCol w:w="547"/>
        <w:gridCol w:w="531"/>
        <w:gridCol w:w="547"/>
        <w:gridCol w:w="1352"/>
        <w:gridCol w:w="531"/>
        <w:gridCol w:w="579"/>
        <w:gridCol w:w="531"/>
        <w:gridCol w:w="499"/>
        <w:gridCol w:w="1046"/>
        <w:gridCol w:w="547"/>
        <w:gridCol w:w="547"/>
        <w:gridCol w:w="532"/>
        <w:gridCol w:w="597"/>
        <w:gridCol w:w="11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3075" w:type="dxa"/>
            <w:gridSpan w:val="5"/>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行政复议</w:t>
            </w:r>
          </w:p>
        </w:tc>
        <w:tc>
          <w:tcPr>
            <w:tcW w:w="6000" w:type="dxa"/>
            <w:gridSpan w:val="10"/>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50" w:type="dxa"/>
            <w:vMerge w:val="restart"/>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结果维持</w:t>
            </w:r>
          </w:p>
        </w:tc>
        <w:tc>
          <w:tcPr>
            <w:tcW w:w="465" w:type="dxa"/>
            <w:vMerge w:val="restart"/>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结果纠正</w:t>
            </w:r>
          </w:p>
        </w:tc>
        <w:tc>
          <w:tcPr>
            <w:tcW w:w="495" w:type="dxa"/>
            <w:vMerge w:val="restart"/>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其他结果</w:t>
            </w:r>
          </w:p>
        </w:tc>
        <w:tc>
          <w:tcPr>
            <w:tcW w:w="405" w:type="dxa"/>
            <w:vMerge w:val="restart"/>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尚未审结</w:t>
            </w:r>
          </w:p>
        </w:tc>
        <w:tc>
          <w:tcPr>
            <w:tcW w:w="240" w:type="dxa"/>
            <w:vMerge w:val="restart"/>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总计</w:t>
            </w:r>
          </w:p>
        </w:tc>
        <w:tc>
          <w:tcPr>
            <w:tcW w:w="2970" w:type="dxa"/>
            <w:gridSpan w:val="5"/>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未经复议直接起诉</w:t>
            </w:r>
          </w:p>
        </w:tc>
        <w:tc>
          <w:tcPr>
            <w:tcW w:w="3030" w:type="dxa"/>
            <w:gridSpan w:val="5"/>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50"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465"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495" w:type="dxa"/>
            <w:vMerge w:val="continue"/>
            <w:tcBorders>
              <w:top w:val="single" w:color="000000" w:sz="6" w:space="0"/>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405" w:type="dxa"/>
            <w:vMerge w:val="continue"/>
            <w:tcBorders>
              <w:top w:val="single" w:color="000000" w:sz="6" w:space="0"/>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40" w:type="dxa"/>
            <w:vMerge w:val="continue"/>
            <w:tcBorders>
              <w:top w:val="single" w:color="000000" w:sz="6" w:space="0"/>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49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结果维持</w:t>
            </w:r>
          </w:p>
        </w:tc>
        <w:tc>
          <w:tcPr>
            <w:tcW w:w="54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结果纠正</w:t>
            </w:r>
          </w:p>
        </w:tc>
        <w:tc>
          <w:tcPr>
            <w:tcW w:w="495"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其他结果</w:t>
            </w:r>
          </w:p>
        </w:tc>
        <w:tc>
          <w:tcPr>
            <w:tcW w:w="465"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尚未审结</w:t>
            </w:r>
          </w:p>
        </w:tc>
        <w:tc>
          <w:tcPr>
            <w:tcW w:w="345"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总计</w:t>
            </w:r>
          </w:p>
        </w:tc>
        <w:tc>
          <w:tcPr>
            <w:tcW w:w="420"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结果维持</w:t>
            </w:r>
          </w:p>
        </w:tc>
        <w:tc>
          <w:tcPr>
            <w:tcW w:w="465"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结果纠正</w:t>
            </w:r>
          </w:p>
        </w:tc>
        <w:tc>
          <w:tcPr>
            <w:tcW w:w="495"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其他结果</w:t>
            </w:r>
          </w:p>
        </w:tc>
        <w:tc>
          <w:tcPr>
            <w:tcW w:w="555"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尚未审结</w:t>
            </w:r>
          </w:p>
        </w:tc>
        <w:tc>
          <w:tcPr>
            <w:tcW w:w="240"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50" w:type="dxa"/>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4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49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 0</w:t>
            </w:r>
          </w:p>
        </w:tc>
        <w:tc>
          <w:tcPr>
            <w:tcW w:w="4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24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49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54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49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 0</w:t>
            </w:r>
          </w:p>
        </w:tc>
        <w:tc>
          <w:tcPr>
            <w:tcW w:w="4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34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4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 0</w:t>
            </w:r>
          </w:p>
        </w:tc>
        <w:tc>
          <w:tcPr>
            <w:tcW w:w="4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 0</w:t>
            </w:r>
          </w:p>
        </w:tc>
        <w:tc>
          <w:tcPr>
            <w:tcW w:w="49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0 </w:t>
            </w:r>
          </w:p>
        </w:tc>
        <w:tc>
          <w:tcPr>
            <w:tcW w:w="55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9"/>
                <w:szCs w:val="19"/>
                <w:bdr w:val="none" w:color="auto" w:sz="0" w:space="0"/>
              </w:rPr>
              <w:t>0 </w:t>
            </w:r>
          </w:p>
        </w:tc>
        <w:tc>
          <w:tcPr>
            <w:tcW w:w="240"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pPr>
            <w:r>
              <w:rPr>
                <w:rFonts w:hint="eastAsia" w:ascii="宋体" w:hAnsi="宋体" w:eastAsia="宋体" w:cs="宋体"/>
                <w:kern w:val="0"/>
                <w:sz w:val="19"/>
                <w:szCs w:val="19"/>
                <w:bdr w:val="none" w:color="auto" w:sz="0" w:space="0"/>
                <w:lang w:val="en-US" w:eastAsia="zh-CN" w:bidi="ar"/>
              </w:rPr>
              <w:t>0</w:t>
            </w:r>
            <w:r>
              <w:rPr>
                <w:rFonts w:ascii="宋体" w:hAnsi="宋体" w:eastAsia="宋体" w:cs="宋体"/>
                <w:kern w:val="0"/>
                <w:sz w:val="24"/>
                <w:szCs w:val="24"/>
                <w:bdr w:val="none" w:color="auto" w:sz="0" w:space="0"/>
                <w:lang w:val="en-US" w:eastAsia="zh-CN" w:bidi="ar"/>
              </w:rPr>
              <w:t>​</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pPr>
      <w:r>
        <w:rPr>
          <w:rFonts w:hint="eastAsia" w:ascii="黑体" w:hAnsi="宋体" w:eastAsia="黑体" w:cs="黑体"/>
          <w:i w:val="0"/>
          <w:caps w:val="0"/>
          <w:color w:val="333333"/>
          <w:spacing w:val="0"/>
          <w:sz w:val="31"/>
          <w:szCs w:val="31"/>
          <w:bdr w:val="none" w:color="auto" w:sz="0" w:space="0"/>
          <w:shd w:val="clear" w:fill="FFFFFF"/>
        </w:rPr>
        <w:t>    五、存在的主要问题及改进情况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645"/>
        <w:jc w:val="both"/>
        <w:rPr>
          <w:rFonts w:hint="eastAsia" w:ascii="仿宋_GB2312" w:hAnsi="仿宋_GB2312" w:eastAsia="仿宋_GB2312" w:cs="仿宋_GB2312"/>
          <w:i w:val="0"/>
          <w:caps w:val="0"/>
          <w:color w:val="333333"/>
          <w:spacing w:val="0"/>
          <w:sz w:val="31"/>
          <w:szCs w:val="31"/>
          <w:shd w:val="clear" w:fill="FFFFFF"/>
        </w:rPr>
      </w:pPr>
      <w:r>
        <w:rPr>
          <w:rFonts w:hint="eastAsia" w:ascii="仿宋_GB2312" w:hAnsi="仿宋_GB2312" w:eastAsia="仿宋_GB2312" w:cs="仿宋_GB2312"/>
          <w:i w:val="0"/>
          <w:caps w:val="0"/>
          <w:color w:val="333333"/>
          <w:spacing w:val="0"/>
          <w:sz w:val="31"/>
          <w:szCs w:val="31"/>
          <w:shd w:val="clear" w:fill="FFFFFF"/>
        </w:rPr>
        <w:t>（一）工作中存在的主要问题：一是公开的内容还不够全面，信息发布的及时性有待提高；二是工作机制有待完善；三是业务水平有待提高。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645"/>
        <w:jc w:val="both"/>
        <w:rPr>
          <w:rFonts w:hint="eastAsia" w:ascii="仿宋_GB2312" w:hAnsi="仿宋_GB2312" w:eastAsia="仿宋_GB2312" w:cs="仿宋_GB2312"/>
          <w:i w:val="0"/>
          <w:caps w:val="0"/>
          <w:color w:val="333333"/>
          <w:spacing w:val="0"/>
          <w:sz w:val="31"/>
          <w:szCs w:val="31"/>
          <w:shd w:val="clear" w:fill="FFFFFF"/>
        </w:rPr>
      </w:pPr>
      <w:r>
        <w:rPr>
          <w:rFonts w:hint="eastAsia" w:ascii="仿宋_GB2312" w:hAnsi="仿宋_GB2312" w:eastAsia="仿宋_GB2312" w:cs="仿宋_GB2312"/>
          <w:i w:val="0"/>
          <w:caps w:val="0"/>
          <w:color w:val="333333"/>
          <w:spacing w:val="0"/>
          <w:sz w:val="31"/>
          <w:szCs w:val="31"/>
          <w:shd w:val="clear" w:fill="FFFFFF"/>
        </w:rPr>
        <w:t>（二）解决办法和改进措施：一是进一步加强组织领导；二是进一步完善工作机制；三是进一步提高主动公开政府信息质量。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645"/>
        <w:jc w:val="both"/>
        <w:rPr>
          <w:rFonts w:hint="eastAsia" w:ascii="微软雅黑" w:hAnsi="微软雅黑" w:eastAsia="微软雅黑" w:cs="微软雅黑"/>
          <w:color w:val="333333"/>
          <w:sz w:val="25"/>
          <w:szCs w:val="25"/>
        </w:rPr>
      </w:pPr>
      <w:r>
        <w:rPr>
          <w:rFonts w:hint="eastAsia" w:ascii="黑体" w:hAnsi="宋体" w:eastAsia="黑体" w:cs="黑体"/>
          <w:i w:val="0"/>
          <w:caps w:val="0"/>
          <w:color w:val="333333"/>
          <w:spacing w:val="0"/>
          <w:sz w:val="31"/>
          <w:szCs w:val="31"/>
          <w:bdr w:val="none" w:color="auto" w:sz="0" w:space="0"/>
          <w:shd w:val="clear" w:fill="FFFFFF"/>
        </w:rPr>
        <w:t>六、其他需要报告的事项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645"/>
        <w:jc w:val="both"/>
        <w:rPr>
          <w:rFonts w:hint="eastAsia" w:ascii="微软雅黑" w:hAnsi="微软雅黑" w:eastAsia="微软雅黑" w:cs="微软雅黑"/>
          <w:color w:val="333333"/>
          <w:sz w:val="25"/>
          <w:szCs w:val="25"/>
        </w:rPr>
      </w:pPr>
      <w:r>
        <w:rPr>
          <w:rFonts w:hint="eastAsia" w:ascii="仿宋_GB2312" w:hAnsi="仿宋_GB2312" w:eastAsia="仿宋_GB2312" w:cs="仿宋_GB2312"/>
          <w:i w:val="0"/>
          <w:caps w:val="0"/>
          <w:color w:val="333333"/>
          <w:spacing w:val="0"/>
          <w:sz w:val="31"/>
          <w:szCs w:val="31"/>
          <w:bdr w:val="none" w:color="auto" w:sz="0" w:space="0"/>
          <w:shd w:val="clear" w:fill="FFFFFF"/>
        </w:rPr>
        <w:t>本年度无其他需要报告的事项。</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Calibri Light">
    <w:panose1 w:val="020F0302020204030204"/>
    <w:charset w:val="00"/>
    <w:family w:val="auto"/>
    <w:pitch w:val="default"/>
    <w:sig w:usb0="A00002EF" w:usb1="4000207B" w:usb2="00000000"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F643C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2021-04-30T02:36:47Z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